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a"/>
        <w:tblpPr w:leftFromText="180" w:rightFromText="180" w:vertAnchor="page" w:horzAnchor="margin" w:tblpX="-318" w:tblpY="1050"/>
        <w:tblOverlap w:val="never"/>
        <w:tblW w:w="11341"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Look w:val="04A0" w:firstRow="1" w:lastRow="0" w:firstColumn="1" w:lastColumn="0" w:noHBand="0" w:noVBand="1"/>
      </w:tblPr>
      <w:tblGrid>
        <w:gridCol w:w="5495"/>
        <w:gridCol w:w="5846"/>
      </w:tblGrid>
      <w:tr w:rsidR="00503DEC" w:rsidRPr="00EB7B37" w:rsidTr="00A11A04">
        <w:trPr>
          <w:trHeight w:val="417"/>
        </w:trPr>
        <w:tc>
          <w:tcPr>
            <w:tcW w:w="5495" w:type="dxa"/>
            <w:tcBorders>
              <w:tl2br w:val="nil"/>
              <w:tr2bl w:val="nil"/>
            </w:tcBorders>
            <w:vAlign w:val="center"/>
          </w:tcPr>
          <w:p w:rsidR="00503DEC" w:rsidRPr="00EB7B37" w:rsidRDefault="00503DEC" w:rsidP="00181826">
            <w:pPr>
              <w:jc w:val="left"/>
              <w:rPr>
                <w:sz w:val="22"/>
                <w:szCs w:val="22"/>
              </w:rPr>
            </w:pPr>
            <w:r w:rsidRPr="00EB7B37">
              <w:rPr>
                <w:rFonts w:asciiTheme="minorEastAsia" w:hAnsiTheme="minorEastAsia" w:cs="宋体" w:hint="eastAsia"/>
                <w:b/>
                <w:bCs/>
                <w:color w:val="000000"/>
                <w:kern w:val="0"/>
                <w:sz w:val="22"/>
                <w:szCs w:val="22"/>
              </w:rPr>
              <w:t>推荐星级：</w:t>
            </w:r>
            <w:r w:rsidRPr="00EB7B37">
              <w:rPr>
                <w:rFonts w:asciiTheme="minorEastAsia" w:hAnsiTheme="minorEastAsia" w:cs="宋体" w:hint="eastAsia"/>
                <w:b/>
                <w:bCs/>
                <w:color w:val="C00000"/>
                <w:kern w:val="0"/>
                <w:sz w:val="22"/>
                <w:szCs w:val="22"/>
              </w:rPr>
              <w:t>★★★★★</w:t>
            </w:r>
          </w:p>
        </w:tc>
        <w:tc>
          <w:tcPr>
            <w:tcW w:w="5846" w:type="dxa"/>
            <w:tcBorders>
              <w:tl2br w:val="nil"/>
              <w:tr2bl w:val="nil"/>
            </w:tcBorders>
            <w:vAlign w:val="center"/>
          </w:tcPr>
          <w:p w:rsidR="00503DEC" w:rsidRPr="00EB7B37" w:rsidRDefault="00503DEC" w:rsidP="00A11A04">
            <w:pPr>
              <w:jc w:val="center"/>
              <w:rPr>
                <w:rFonts w:asciiTheme="minorEastAsia" w:hAnsiTheme="minorEastAsia" w:cs="宋体"/>
                <w:b/>
                <w:bCs/>
                <w:color w:val="000000"/>
                <w:kern w:val="0"/>
                <w:sz w:val="22"/>
                <w:szCs w:val="22"/>
              </w:rPr>
            </w:pPr>
            <w:r w:rsidRPr="00EB7B37">
              <w:rPr>
                <w:rFonts w:asciiTheme="minorEastAsia" w:hAnsiTheme="minorEastAsia" w:cs="宋体" w:hint="eastAsia"/>
                <w:b/>
                <w:bCs/>
                <w:color w:val="000000"/>
                <w:kern w:val="0"/>
                <w:sz w:val="22"/>
                <w:szCs w:val="22"/>
              </w:rPr>
              <w:t>《如何高效学习法律（第8版）》</w:t>
            </w:r>
          </w:p>
        </w:tc>
      </w:tr>
      <w:tr w:rsidR="00503DEC" w:rsidRPr="00EB7B37" w:rsidTr="00997EE2">
        <w:trPr>
          <w:trHeight w:val="803"/>
        </w:trPr>
        <w:tc>
          <w:tcPr>
            <w:tcW w:w="11341" w:type="dxa"/>
            <w:gridSpan w:val="2"/>
            <w:tcBorders>
              <w:tl2br w:val="nil"/>
              <w:tr2bl w:val="nil"/>
            </w:tcBorders>
            <w:vAlign w:val="center"/>
          </w:tcPr>
          <w:p w:rsidR="00503DEC" w:rsidRPr="00EB7B37" w:rsidRDefault="00503DEC" w:rsidP="00997EE2">
            <w:pPr>
              <w:widowControl/>
              <w:jc w:val="center"/>
              <w:rPr>
                <w:rFonts w:asciiTheme="minorEastAsia" w:hAnsiTheme="minorEastAsia" w:cs="宋体"/>
                <w:b/>
                <w:bCs/>
                <w:color w:val="0070C0"/>
                <w:kern w:val="0"/>
                <w:sz w:val="22"/>
                <w:szCs w:val="22"/>
              </w:rPr>
            </w:pPr>
            <w:r w:rsidRPr="00EB7B37">
              <w:rPr>
                <w:rFonts w:asciiTheme="minorEastAsia" w:hAnsiTheme="minorEastAsia" w:cs="宋体" w:hint="eastAsia"/>
                <w:b/>
                <w:bCs/>
                <w:color w:val="0070C0"/>
                <w:kern w:val="0"/>
                <w:sz w:val="22"/>
                <w:szCs w:val="22"/>
              </w:rPr>
              <w:t>广告语</w:t>
            </w:r>
          </w:p>
          <w:p w:rsidR="00503DEC" w:rsidRPr="00EB7B37" w:rsidRDefault="00503DEC" w:rsidP="00997EE2">
            <w:pPr>
              <w:jc w:val="center"/>
              <w:rPr>
                <w:rFonts w:ascii="宋体" w:hAnsi="Courier New" w:cs="Courier New"/>
                <w:color w:val="00B0F0"/>
                <w:sz w:val="22"/>
                <w:szCs w:val="22"/>
              </w:rPr>
            </w:pPr>
            <w:r w:rsidRPr="00EB7B37">
              <w:rPr>
                <w:rFonts w:ascii="宋体" w:hAnsi="Courier New" w:cs="Courier New" w:hint="eastAsia"/>
                <w:color w:val="000000" w:themeColor="text1"/>
                <w:sz w:val="22"/>
                <w:szCs w:val="22"/>
              </w:rPr>
              <w:t>工欲善其事，必先利其器。愿本书成为</w:t>
            </w:r>
            <w:proofErr w:type="gramStart"/>
            <w:r w:rsidRPr="00EB7B37">
              <w:rPr>
                <w:rFonts w:ascii="宋体" w:hAnsi="Courier New" w:cs="Courier New" w:hint="eastAsia"/>
                <w:color w:val="000000" w:themeColor="text1"/>
                <w:sz w:val="22"/>
                <w:szCs w:val="22"/>
              </w:rPr>
              <w:t>您法律</w:t>
            </w:r>
            <w:proofErr w:type="gramEnd"/>
            <w:r w:rsidRPr="00EB7B37">
              <w:rPr>
                <w:rFonts w:ascii="宋体" w:hAnsi="Courier New" w:cs="Courier New" w:hint="eastAsia"/>
                <w:color w:val="000000" w:themeColor="text1"/>
                <w:sz w:val="22"/>
                <w:szCs w:val="22"/>
              </w:rPr>
              <w:t>学习的“私人伴读”工具。</w:t>
            </w:r>
          </w:p>
        </w:tc>
      </w:tr>
      <w:tr w:rsidR="00503DEC" w:rsidRPr="00EB7B37" w:rsidTr="001C67BE">
        <w:trPr>
          <w:trHeight w:val="1014"/>
        </w:trPr>
        <w:tc>
          <w:tcPr>
            <w:tcW w:w="5495" w:type="dxa"/>
            <w:vMerge w:val="restart"/>
            <w:tcBorders>
              <w:tl2br w:val="nil"/>
              <w:tr2bl w:val="nil"/>
            </w:tcBorders>
          </w:tcPr>
          <w:p w:rsidR="00503DEC" w:rsidRPr="00EB7B37" w:rsidRDefault="00503DEC" w:rsidP="00997EE2">
            <w:pPr>
              <w:rPr>
                <w:sz w:val="22"/>
                <w:szCs w:val="22"/>
              </w:rPr>
            </w:pPr>
            <w:r w:rsidRPr="00EB7B37">
              <w:rPr>
                <w:noProof/>
                <w:sz w:val="22"/>
                <w:szCs w:val="22"/>
              </w:rPr>
              <w:drawing>
                <wp:anchor distT="0" distB="0" distL="114300" distR="114300" simplePos="0" relativeHeight="251658240" behindDoc="1" locked="0" layoutInCell="1" allowOverlap="1" wp14:anchorId="14991ED2">
                  <wp:simplePos x="0" y="0"/>
                  <wp:positionH relativeFrom="column">
                    <wp:posOffset>-539801</wp:posOffset>
                  </wp:positionH>
                  <wp:positionV relativeFrom="paragraph">
                    <wp:posOffset>456159</wp:posOffset>
                  </wp:positionV>
                  <wp:extent cx="4337914" cy="4337914"/>
                  <wp:effectExtent l="0" t="0" r="0" b="571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787301312728_TML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37914" cy="4337914"/>
                          </a:xfrm>
                          <a:prstGeom prst="rect">
                            <a:avLst/>
                          </a:prstGeom>
                        </pic:spPr>
                      </pic:pic>
                    </a:graphicData>
                  </a:graphic>
                  <wp14:sizeRelH relativeFrom="margin">
                    <wp14:pctWidth>0</wp14:pctWidth>
                  </wp14:sizeRelH>
                  <wp14:sizeRelV relativeFrom="margin">
                    <wp14:pctHeight>0</wp14:pctHeight>
                  </wp14:sizeRelV>
                </wp:anchor>
              </w:drawing>
            </w:r>
          </w:p>
        </w:tc>
        <w:tc>
          <w:tcPr>
            <w:tcW w:w="5846" w:type="dxa"/>
            <w:tcBorders>
              <w:tl2br w:val="nil"/>
              <w:tr2bl w:val="nil"/>
            </w:tcBorders>
          </w:tcPr>
          <w:p w:rsidR="00503DEC" w:rsidRPr="00EB7B37" w:rsidRDefault="00503DEC" w:rsidP="00997EE2">
            <w:pPr>
              <w:widowControl/>
              <w:jc w:val="center"/>
              <w:rPr>
                <w:rFonts w:asciiTheme="minorEastAsia" w:hAnsiTheme="minorEastAsia" w:cs="宋体"/>
                <w:b/>
                <w:color w:val="0070C0"/>
                <w:kern w:val="0"/>
                <w:sz w:val="22"/>
                <w:szCs w:val="22"/>
              </w:rPr>
            </w:pPr>
            <w:r w:rsidRPr="00EB7B37">
              <w:rPr>
                <w:rFonts w:asciiTheme="minorEastAsia" w:hAnsiTheme="minorEastAsia" w:cs="宋体" w:hint="eastAsia"/>
                <w:b/>
                <w:color w:val="0070C0"/>
                <w:kern w:val="0"/>
                <w:sz w:val="22"/>
                <w:szCs w:val="22"/>
              </w:rPr>
              <w:t>一句话推荐</w:t>
            </w:r>
          </w:p>
          <w:p w:rsidR="00503DEC" w:rsidRPr="00EB7B37" w:rsidRDefault="00503DEC" w:rsidP="001334E1">
            <w:pPr>
              <w:pStyle w:val="a3"/>
              <w:ind w:firstLineChars="200" w:firstLine="440"/>
              <w:jc w:val="left"/>
              <w:rPr>
                <w:sz w:val="22"/>
                <w:szCs w:val="22"/>
              </w:rPr>
            </w:pPr>
            <w:r w:rsidRPr="001334E1">
              <w:rPr>
                <w:rFonts w:asciiTheme="minorHAnsi" w:eastAsiaTheme="minorEastAsia" w:hAnsiTheme="minorHAnsi" w:cstheme="minorBidi" w:hint="eastAsia"/>
                <w:sz w:val="22"/>
                <w:szCs w:val="22"/>
              </w:rPr>
              <w:t>本书适合处在各个阶段的法学专业的学生。越早阅读本书，把这些有效的认识应用到法律学习中的机会就越大。</w:t>
            </w:r>
          </w:p>
        </w:tc>
      </w:tr>
      <w:tr w:rsidR="00503DEC" w:rsidRPr="00EB7B37" w:rsidTr="00253957">
        <w:trPr>
          <w:trHeight w:val="890"/>
        </w:trPr>
        <w:tc>
          <w:tcPr>
            <w:tcW w:w="5495" w:type="dxa"/>
            <w:vMerge/>
            <w:tcBorders>
              <w:tl2br w:val="nil"/>
              <w:tr2bl w:val="nil"/>
            </w:tcBorders>
          </w:tcPr>
          <w:p w:rsidR="00503DEC" w:rsidRPr="00EB7B37" w:rsidRDefault="00503DEC" w:rsidP="00997EE2">
            <w:pPr>
              <w:rPr>
                <w:sz w:val="22"/>
                <w:szCs w:val="22"/>
              </w:rPr>
            </w:pPr>
          </w:p>
        </w:tc>
        <w:tc>
          <w:tcPr>
            <w:tcW w:w="5846" w:type="dxa"/>
            <w:tcBorders>
              <w:tl2br w:val="nil"/>
              <w:tr2bl w:val="nil"/>
            </w:tcBorders>
          </w:tcPr>
          <w:p w:rsidR="00503DEC" w:rsidRPr="00EB7B37" w:rsidRDefault="00503DEC" w:rsidP="00997EE2">
            <w:pPr>
              <w:jc w:val="center"/>
              <w:rPr>
                <w:rFonts w:asciiTheme="minorEastAsia" w:hAnsiTheme="minorEastAsia" w:cs="宋体"/>
                <w:b/>
                <w:color w:val="0070C0"/>
                <w:kern w:val="0"/>
                <w:sz w:val="22"/>
                <w:szCs w:val="22"/>
              </w:rPr>
            </w:pPr>
            <w:r w:rsidRPr="00EB7B37">
              <w:rPr>
                <w:rFonts w:asciiTheme="minorEastAsia" w:hAnsiTheme="minorEastAsia" w:cs="宋体" w:hint="eastAsia"/>
                <w:b/>
                <w:color w:val="0070C0"/>
                <w:kern w:val="0"/>
                <w:sz w:val="22"/>
                <w:szCs w:val="22"/>
              </w:rPr>
              <w:t>卖点</w:t>
            </w:r>
          </w:p>
          <w:p w:rsidR="00503DEC" w:rsidRPr="00EB7B37" w:rsidRDefault="00503DEC" w:rsidP="001334E1">
            <w:pPr>
              <w:pStyle w:val="a3"/>
              <w:ind w:firstLineChars="200" w:firstLine="440"/>
              <w:jc w:val="left"/>
              <w:rPr>
                <w:rFonts w:asciiTheme="minorHAnsi" w:eastAsiaTheme="minorEastAsia" w:hAnsiTheme="minorHAnsi" w:cstheme="minorBidi"/>
                <w:sz w:val="22"/>
                <w:szCs w:val="22"/>
              </w:rPr>
            </w:pPr>
            <w:r w:rsidRPr="00EB7B37">
              <w:rPr>
                <w:rFonts w:asciiTheme="minorHAnsi" w:eastAsiaTheme="minorEastAsia" w:hAnsiTheme="minorHAnsi" w:cstheme="minorBidi" w:hint="eastAsia"/>
                <w:sz w:val="22"/>
                <w:szCs w:val="22"/>
              </w:rPr>
              <w:t>*</w:t>
            </w:r>
            <w:r w:rsidRPr="00EB7B37">
              <w:rPr>
                <w:rFonts w:asciiTheme="minorHAnsi" w:eastAsiaTheme="minorEastAsia" w:hAnsiTheme="minorHAnsi" w:cstheme="minorBidi" w:hint="eastAsia"/>
                <w:sz w:val="22"/>
                <w:szCs w:val="22"/>
              </w:rPr>
              <w:t>功用性强：本书是法律学习的“私人伴读”工具。</w:t>
            </w:r>
          </w:p>
          <w:p w:rsidR="00503DEC" w:rsidRPr="00EB7B37" w:rsidRDefault="00503DEC" w:rsidP="001334E1">
            <w:pPr>
              <w:ind w:firstLineChars="200" w:firstLine="440"/>
              <w:jc w:val="left"/>
              <w:rPr>
                <w:sz w:val="22"/>
                <w:szCs w:val="22"/>
              </w:rPr>
            </w:pPr>
            <w:r w:rsidRPr="00EB7B37">
              <w:rPr>
                <w:rFonts w:hint="eastAsia"/>
                <w:sz w:val="22"/>
                <w:szCs w:val="22"/>
              </w:rPr>
              <w:t>*</w:t>
            </w:r>
            <w:r w:rsidRPr="00EB7B37">
              <w:rPr>
                <w:rFonts w:hint="eastAsia"/>
                <w:sz w:val="22"/>
                <w:szCs w:val="22"/>
              </w:rPr>
              <w:t>读者面较广：本书适合处在各个阶段（也包括在职学习）的法学专业的学生。</w:t>
            </w:r>
          </w:p>
        </w:tc>
      </w:tr>
      <w:tr w:rsidR="00503DEC" w:rsidRPr="00EB7B37" w:rsidTr="00253957">
        <w:trPr>
          <w:trHeight w:val="3521"/>
        </w:trPr>
        <w:tc>
          <w:tcPr>
            <w:tcW w:w="5495" w:type="dxa"/>
            <w:vMerge/>
            <w:tcBorders>
              <w:tl2br w:val="nil"/>
              <w:tr2bl w:val="nil"/>
            </w:tcBorders>
          </w:tcPr>
          <w:p w:rsidR="00503DEC" w:rsidRPr="00EB7B37" w:rsidRDefault="00503DEC" w:rsidP="00997EE2">
            <w:pPr>
              <w:rPr>
                <w:sz w:val="22"/>
                <w:szCs w:val="22"/>
              </w:rPr>
            </w:pPr>
          </w:p>
        </w:tc>
        <w:tc>
          <w:tcPr>
            <w:tcW w:w="5846" w:type="dxa"/>
            <w:tcBorders>
              <w:tl2br w:val="nil"/>
              <w:tr2bl w:val="nil"/>
            </w:tcBorders>
          </w:tcPr>
          <w:p w:rsidR="00503DEC" w:rsidRPr="00EB7B37" w:rsidRDefault="00503DEC" w:rsidP="00997EE2">
            <w:pPr>
              <w:jc w:val="center"/>
              <w:rPr>
                <w:rFonts w:asciiTheme="minorEastAsia" w:hAnsiTheme="minorEastAsia" w:cs="宋体"/>
                <w:b/>
                <w:color w:val="0070C0"/>
                <w:kern w:val="0"/>
                <w:sz w:val="22"/>
                <w:szCs w:val="22"/>
              </w:rPr>
            </w:pPr>
            <w:r w:rsidRPr="00EB7B37">
              <w:rPr>
                <w:rFonts w:asciiTheme="minorEastAsia" w:hAnsiTheme="minorEastAsia" w:cs="宋体" w:hint="eastAsia"/>
                <w:b/>
                <w:color w:val="0070C0"/>
                <w:kern w:val="0"/>
                <w:sz w:val="22"/>
                <w:szCs w:val="22"/>
              </w:rPr>
              <w:t>内容简介</w:t>
            </w:r>
          </w:p>
          <w:p w:rsidR="00503DEC" w:rsidRPr="001334E1" w:rsidRDefault="00503DEC" w:rsidP="001334E1">
            <w:pPr>
              <w:pStyle w:val="a3"/>
              <w:ind w:firstLineChars="200" w:firstLine="440"/>
              <w:jc w:val="left"/>
              <w:rPr>
                <w:rFonts w:asciiTheme="minorHAnsi" w:eastAsiaTheme="minorEastAsia" w:hAnsiTheme="minorHAnsi" w:cstheme="minorBidi"/>
                <w:sz w:val="22"/>
                <w:szCs w:val="22"/>
              </w:rPr>
            </w:pPr>
            <w:r w:rsidRPr="001334E1">
              <w:rPr>
                <w:rFonts w:asciiTheme="minorHAnsi" w:eastAsiaTheme="minorEastAsia" w:hAnsiTheme="minorHAnsi" w:cstheme="minorBidi" w:hint="eastAsia"/>
                <w:sz w:val="22"/>
                <w:szCs w:val="22"/>
              </w:rPr>
              <w:t>工欲善其事，必先利其器。愿本书成为</w:t>
            </w:r>
            <w:proofErr w:type="gramStart"/>
            <w:r w:rsidRPr="001334E1">
              <w:rPr>
                <w:rFonts w:asciiTheme="minorHAnsi" w:eastAsiaTheme="minorEastAsia" w:hAnsiTheme="minorHAnsi" w:cstheme="minorBidi" w:hint="eastAsia"/>
                <w:sz w:val="22"/>
                <w:szCs w:val="22"/>
              </w:rPr>
              <w:t>您法律</w:t>
            </w:r>
            <w:proofErr w:type="gramEnd"/>
            <w:r w:rsidRPr="001334E1">
              <w:rPr>
                <w:rFonts w:asciiTheme="minorHAnsi" w:eastAsiaTheme="minorEastAsia" w:hAnsiTheme="minorHAnsi" w:cstheme="minorBidi" w:hint="eastAsia"/>
                <w:sz w:val="22"/>
                <w:szCs w:val="22"/>
              </w:rPr>
              <w:t>学习的“私人伴读”工具。</w:t>
            </w:r>
          </w:p>
          <w:p w:rsidR="00503DEC" w:rsidRPr="001334E1" w:rsidRDefault="00503DEC" w:rsidP="001334E1">
            <w:pPr>
              <w:pStyle w:val="a3"/>
              <w:ind w:firstLineChars="200" w:firstLine="440"/>
              <w:jc w:val="left"/>
              <w:rPr>
                <w:rFonts w:asciiTheme="minorHAnsi" w:eastAsiaTheme="minorEastAsia" w:hAnsiTheme="minorHAnsi" w:cstheme="minorBidi"/>
                <w:sz w:val="22"/>
                <w:szCs w:val="22"/>
              </w:rPr>
            </w:pPr>
            <w:r w:rsidRPr="001334E1">
              <w:rPr>
                <w:rFonts w:asciiTheme="minorHAnsi" w:eastAsiaTheme="minorEastAsia" w:hAnsiTheme="minorHAnsi" w:cstheme="minorBidi" w:hint="eastAsia"/>
                <w:sz w:val="22"/>
                <w:szCs w:val="22"/>
              </w:rPr>
              <w:t>如果您希望学习法律并且高效地完成学习任务：希望理解并能够应用法律，希望深入并专注地学习，希望参与到法律问题的思考和讨论中，希望在某个法律学习阶段结束时已经能够系统掌握一个法学领域并且将其中的知识正确应用在闭卷考试中，希望在学习之外毫无愧疚感地享受空闲时间并且花时间培养法律学习之外的兴趣。希望本书能够帮助您优化在每个学习阶段的学习方法，实现这些目标。</w:t>
            </w:r>
          </w:p>
          <w:p w:rsidR="00503DEC" w:rsidRPr="001334E1" w:rsidRDefault="00503DEC" w:rsidP="001334E1">
            <w:pPr>
              <w:pStyle w:val="a3"/>
              <w:ind w:firstLineChars="200" w:firstLine="440"/>
              <w:jc w:val="left"/>
              <w:rPr>
                <w:rFonts w:asciiTheme="minorHAnsi" w:eastAsiaTheme="minorEastAsia" w:hAnsiTheme="minorHAnsi" w:cstheme="minorBidi"/>
                <w:sz w:val="22"/>
                <w:szCs w:val="22"/>
              </w:rPr>
            </w:pPr>
            <w:r w:rsidRPr="001334E1">
              <w:rPr>
                <w:rFonts w:asciiTheme="minorHAnsi" w:eastAsiaTheme="minorEastAsia" w:hAnsiTheme="minorHAnsi" w:cstheme="minorBidi" w:hint="eastAsia"/>
                <w:sz w:val="22"/>
                <w:szCs w:val="22"/>
              </w:rPr>
              <w:t>本书适合处在各个阶段的法学专业的学生。越早阅读本书，把这些有效的认识应用到法律学习中的机会就越大。</w:t>
            </w:r>
          </w:p>
          <w:p w:rsidR="00503DEC" w:rsidRPr="001334E1" w:rsidRDefault="00503DEC" w:rsidP="001334E1">
            <w:pPr>
              <w:pStyle w:val="a3"/>
              <w:ind w:firstLineChars="200" w:firstLine="440"/>
              <w:jc w:val="left"/>
              <w:rPr>
                <w:rFonts w:asciiTheme="minorHAnsi" w:eastAsiaTheme="minorEastAsia" w:hAnsiTheme="minorHAnsi" w:cstheme="minorBidi"/>
                <w:sz w:val="22"/>
                <w:szCs w:val="22"/>
              </w:rPr>
            </w:pPr>
            <w:r w:rsidRPr="001334E1">
              <w:rPr>
                <w:rFonts w:asciiTheme="minorHAnsi" w:eastAsiaTheme="minorEastAsia" w:hAnsiTheme="minorHAnsi" w:cstheme="minorBidi" w:hint="eastAsia"/>
                <w:sz w:val="22"/>
                <w:szCs w:val="22"/>
              </w:rPr>
              <w:t>本书内容的构成如下：</w:t>
            </w:r>
          </w:p>
          <w:p w:rsidR="00503DEC" w:rsidRPr="00EB7B37" w:rsidRDefault="00503DEC" w:rsidP="00997EE2">
            <w:pPr>
              <w:ind w:firstLineChars="200" w:firstLine="440"/>
              <w:rPr>
                <w:sz w:val="22"/>
                <w:szCs w:val="22"/>
              </w:rPr>
            </w:pPr>
            <w:r w:rsidRPr="00EB7B37">
              <w:rPr>
                <w:noProof/>
                <w:sz w:val="22"/>
                <w:szCs w:val="22"/>
              </w:rPr>
              <w:drawing>
                <wp:inline distT="0" distB="0" distL="0" distR="0" wp14:anchorId="23E4C7A2" wp14:editId="1ACB58F6">
                  <wp:extent cx="3162300" cy="1038225"/>
                  <wp:effectExtent l="0" t="0" r="0" b="9525"/>
                  <wp:docPr id="4" name="图片 4" descr="C:\Users\ADMINI~1\AppData\Local\Temp\WeChat Files\9e64ef176e02555717cf3034490aa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9e64ef176e02555717cf3034490aac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62300" cy="1038225"/>
                          </a:xfrm>
                          <a:prstGeom prst="rect">
                            <a:avLst/>
                          </a:prstGeom>
                          <a:noFill/>
                          <a:ln>
                            <a:noFill/>
                          </a:ln>
                        </pic:spPr>
                      </pic:pic>
                    </a:graphicData>
                  </a:graphic>
                </wp:inline>
              </w:drawing>
            </w:r>
          </w:p>
        </w:tc>
      </w:tr>
      <w:tr w:rsidR="00503DEC" w:rsidRPr="00EB7B37" w:rsidTr="002613AF">
        <w:trPr>
          <w:trHeight w:val="2010"/>
        </w:trPr>
        <w:tc>
          <w:tcPr>
            <w:tcW w:w="5495" w:type="dxa"/>
            <w:vMerge w:val="restart"/>
            <w:tcBorders>
              <w:tl2br w:val="nil"/>
              <w:tr2bl w:val="nil"/>
            </w:tcBorders>
          </w:tcPr>
          <w:p w:rsidR="00503DEC" w:rsidRPr="00EB7B37" w:rsidRDefault="00503DEC" w:rsidP="00997EE2">
            <w:pPr>
              <w:jc w:val="center"/>
              <w:rPr>
                <w:rFonts w:ascii="黑体" w:eastAsia="黑体" w:hAnsi="黑体" w:cs="宋体"/>
                <w:b/>
                <w:bCs/>
                <w:color w:val="000000"/>
                <w:kern w:val="0"/>
                <w:sz w:val="22"/>
                <w:szCs w:val="22"/>
              </w:rPr>
            </w:pPr>
            <w:r w:rsidRPr="00EB7B37">
              <w:rPr>
                <w:rFonts w:ascii="黑体" w:eastAsia="黑体" w:hAnsi="黑体" w:cs="宋体" w:hint="eastAsia"/>
                <w:b/>
                <w:bCs/>
                <w:color w:val="0070C0"/>
                <w:kern w:val="0"/>
                <w:sz w:val="22"/>
                <w:szCs w:val="22"/>
              </w:rPr>
              <w:t>基本资料</w:t>
            </w:r>
          </w:p>
          <w:p w:rsidR="00503DEC" w:rsidRPr="00EB7B37" w:rsidRDefault="00503DEC" w:rsidP="007B3CFB">
            <w:pPr>
              <w:pStyle w:val="a3"/>
              <w:spacing w:line="320" w:lineRule="exact"/>
              <w:jc w:val="left"/>
              <w:rPr>
                <w:rFonts w:ascii="黑体" w:eastAsia="黑体" w:hAnsi="黑体" w:cs="宋体"/>
                <w:b/>
                <w:bCs/>
                <w:color w:val="000000"/>
                <w:kern w:val="0"/>
                <w:sz w:val="22"/>
                <w:szCs w:val="22"/>
              </w:rPr>
            </w:pPr>
            <w:r w:rsidRPr="00EB7B37">
              <w:rPr>
                <w:rFonts w:ascii="黑体" w:eastAsia="黑体" w:hAnsi="黑体" w:cs="宋体" w:hint="eastAsia"/>
                <w:b/>
                <w:bCs/>
                <w:color w:val="000000"/>
                <w:kern w:val="0"/>
                <w:sz w:val="22"/>
                <w:szCs w:val="22"/>
              </w:rPr>
              <w:t>CIP分类：</w:t>
            </w:r>
            <w:r w:rsidRPr="00EB7B37">
              <w:rPr>
                <w:rFonts w:ascii="黑体" w:eastAsia="黑体" w:hAnsi="黑体" w:cs="宋体"/>
                <w:b/>
                <w:bCs/>
                <w:color w:val="000000"/>
                <w:kern w:val="0"/>
                <w:sz w:val="22"/>
                <w:szCs w:val="22"/>
              </w:rPr>
              <w:t>D9</w:t>
            </w:r>
            <w:r w:rsidRPr="00EB7B37">
              <w:rPr>
                <w:rFonts w:ascii="黑体" w:eastAsia="黑体" w:hAnsi="黑体" w:cs="宋体" w:hint="eastAsia"/>
                <w:b/>
                <w:bCs/>
                <w:color w:val="000000"/>
                <w:kern w:val="0"/>
                <w:sz w:val="22"/>
                <w:szCs w:val="22"/>
              </w:rPr>
              <w:t xml:space="preserve">0 　</w:t>
            </w:r>
          </w:p>
          <w:p w:rsidR="00503DEC" w:rsidRPr="00EB7B37" w:rsidRDefault="00503DEC" w:rsidP="007B3CFB">
            <w:pPr>
              <w:pStyle w:val="a3"/>
              <w:spacing w:line="320" w:lineRule="exact"/>
              <w:jc w:val="left"/>
              <w:rPr>
                <w:rFonts w:ascii="黑体" w:eastAsia="黑体" w:hAnsi="黑体" w:cs="宋体"/>
                <w:b/>
                <w:bCs/>
                <w:color w:val="000000"/>
                <w:kern w:val="0"/>
                <w:sz w:val="22"/>
                <w:szCs w:val="22"/>
              </w:rPr>
            </w:pPr>
            <w:r w:rsidRPr="00EB7B37">
              <w:rPr>
                <w:rFonts w:ascii="黑体" w:eastAsia="黑体" w:hAnsi="黑体" w:cs="宋体" w:hint="eastAsia"/>
                <w:b/>
                <w:bCs/>
                <w:color w:val="000000"/>
                <w:kern w:val="0"/>
                <w:sz w:val="22"/>
                <w:szCs w:val="22"/>
              </w:rPr>
              <w:t>书名：如何高效学习法律（第8版）</w:t>
            </w:r>
            <w:r w:rsidRPr="00EB7B37">
              <w:rPr>
                <w:rFonts w:ascii="黑体" w:eastAsia="黑体" w:hAnsi="黑体" w:cs="宋体" w:hint="eastAsia"/>
                <w:b/>
                <w:bCs/>
                <w:color w:val="000000"/>
                <w:kern w:val="0"/>
                <w:sz w:val="22"/>
                <w:szCs w:val="22"/>
              </w:rPr>
              <w:br/>
              <w:t>书号：ISBN 978-7-301-31272-8</w:t>
            </w:r>
            <w:r w:rsidRPr="00EB7B37">
              <w:rPr>
                <w:rFonts w:ascii="黑体" w:eastAsia="黑体" w:hAnsi="黑体" w:cs="宋体"/>
                <w:b/>
                <w:bCs/>
                <w:color w:val="000000"/>
                <w:kern w:val="0"/>
                <w:sz w:val="22"/>
                <w:szCs w:val="22"/>
              </w:rPr>
              <w:t xml:space="preserve"> </w:t>
            </w:r>
          </w:p>
          <w:p w:rsidR="00503DEC" w:rsidRPr="00EB7B37" w:rsidRDefault="00503DEC" w:rsidP="007B3CFB">
            <w:pPr>
              <w:pStyle w:val="a3"/>
              <w:spacing w:line="320" w:lineRule="exact"/>
              <w:jc w:val="left"/>
              <w:rPr>
                <w:rFonts w:ascii="黑体" w:eastAsia="黑体" w:hAnsi="黑体" w:cs="宋体"/>
                <w:b/>
                <w:bCs/>
                <w:color w:val="000000"/>
                <w:kern w:val="0"/>
                <w:sz w:val="22"/>
                <w:szCs w:val="22"/>
              </w:rPr>
            </w:pPr>
            <w:r w:rsidRPr="00EB7B37">
              <w:rPr>
                <w:rFonts w:ascii="黑体" w:eastAsia="黑体" w:hAnsi="黑体" w:cs="宋体" w:hint="eastAsia"/>
                <w:b/>
                <w:bCs/>
                <w:color w:val="000000"/>
                <w:kern w:val="0"/>
                <w:sz w:val="22"/>
                <w:szCs w:val="22"/>
              </w:rPr>
              <w:t>作者：〔德〕芭芭拉·朗格  著</w:t>
            </w:r>
          </w:p>
          <w:p w:rsidR="00503DEC" w:rsidRPr="00EB7B37" w:rsidRDefault="00D16A13" w:rsidP="007B3CFB">
            <w:pPr>
              <w:pStyle w:val="a3"/>
              <w:spacing w:line="320" w:lineRule="exact"/>
              <w:jc w:val="left"/>
              <w:rPr>
                <w:rFonts w:hAnsi="宋体" w:cs="宋体"/>
                <w:sz w:val="22"/>
                <w:szCs w:val="22"/>
              </w:rPr>
            </w:pPr>
            <w:r>
              <w:rPr>
                <w:rFonts w:ascii="黑体" w:eastAsia="黑体" w:hAnsi="黑体" w:cs="宋体" w:hint="eastAsia"/>
                <w:b/>
                <w:bCs/>
                <w:color w:val="000000"/>
                <w:kern w:val="0"/>
                <w:sz w:val="22"/>
                <w:szCs w:val="22"/>
              </w:rPr>
              <w:t>译者：</w:t>
            </w:r>
            <w:bookmarkStart w:id="0" w:name="_GoBack"/>
            <w:bookmarkEnd w:id="0"/>
            <w:r w:rsidR="00503DEC" w:rsidRPr="00EB7B37">
              <w:rPr>
                <w:rFonts w:ascii="黑体" w:eastAsia="黑体" w:hAnsi="黑体" w:cs="宋体" w:hint="eastAsia"/>
                <w:b/>
                <w:bCs/>
                <w:color w:val="000000"/>
                <w:kern w:val="0"/>
                <w:sz w:val="22"/>
                <w:szCs w:val="22"/>
              </w:rPr>
              <w:t>谭晓晓  译</w:t>
            </w:r>
          </w:p>
          <w:p w:rsidR="00503DEC" w:rsidRPr="00EB7B37" w:rsidRDefault="00503DEC" w:rsidP="007B3CFB">
            <w:pPr>
              <w:pStyle w:val="a3"/>
              <w:spacing w:line="320" w:lineRule="exact"/>
              <w:jc w:val="left"/>
              <w:rPr>
                <w:rFonts w:ascii="黑体" w:eastAsia="黑体" w:hAnsi="黑体" w:cs="宋体"/>
                <w:b/>
                <w:bCs/>
                <w:color w:val="000000"/>
                <w:kern w:val="0"/>
                <w:sz w:val="22"/>
                <w:szCs w:val="22"/>
              </w:rPr>
            </w:pPr>
            <w:r w:rsidRPr="00EB7B37">
              <w:rPr>
                <w:rFonts w:ascii="黑体" w:eastAsia="黑体" w:hAnsi="黑体" w:cs="宋体" w:hint="eastAsia"/>
                <w:b/>
                <w:bCs/>
                <w:color w:val="000000"/>
                <w:kern w:val="0"/>
                <w:sz w:val="22"/>
                <w:szCs w:val="22"/>
              </w:rPr>
              <w:t xml:space="preserve">装帧：平装        </w:t>
            </w:r>
            <w:r w:rsidRPr="00EB7B37">
              <w:rPr>
                <w:rFonts w:ascii="黑体" w:eastAsia="黑体" w:hAnsi="黑体" w:cs="宋体"/>
                <w:b/>
                <w:bCs/>
                <w:color w:val="000000"/>
                <w:kern w:val="0"/>
                <w:sz w:val="22"/>
                <w:szCs w:val="22"/>
              </w:rPr>
              <w:t xml:space="preserve">  </w:t>
            </w:r>
            <w:r w:rsidRPr="00EB7B37">
              <w:rPr>
                <w:rFonts w:ascii="黑体" w:eastAsia="黑体" w:hAnsi="黑体" w:cs="宋体" w:hint="eastAsia"/>
                <w:b/>
                <w:bCs/>
                <w:color w:val="000000"/>
                <w:kern w:val="0"/>
                <w:sz w:val="22"/>
                <w:szCs w:val="22"/>
              </w:rPr>
              <w:t xml:space="preserve"> 定价：68.00元</w:t>
            </w:r>
            <w:r w:rsidRPr="00EB7B37">
              <w:rPr>
                <w:rFonts w:ascii="黑体" w:eastAsia="黑体" w:hAnsi="黑体" w:cs="宋体" w:hint="eastAsia"/>
                <w:b/>
                <w:bCs/>
                <w:color w:val="000000"/>
                <w:kern w:val="0"/>
                <w:sz w:val="22"/>
                <w:szCs w:val="22"/>
              </w:rPr>
              <w:br/>
              <w:t>出版日期：2020/</w:t>
            </w:r>
            <w:r w:rsidRPr="00EB7B37">
              <w:rPr>
                <w:rFonts w:ascii="黑体" w:eastAsia="黑体" w:hAnsi="黑体" w:cs="宋体"/>
                <w:b/>
                <w:bCs/>
                <w:color w:val="000000"/>
                <w:kern w:val="0"/>
                <w:sz w:val="22"/>
                <w:szCs w:val="22"/>
              </w:rPr>
              <w:t>5</w:t>
            </w:r>
            <w:r w:rsidRPr="00EB7B37">
              <w:rPr>
                <w:rFonts w:ascii="黑体" w:eastAsia="黑体" w:hAnsi="黑体" w:cs="宋体" w:hint="eastAsia"/>
                <w:b/>
                <w:bCs/>
                <w:color w:val="000000"/>
                <w:kern w:val="0"/>
                <w:sz w:val="22"/>
                <w:szCs w:val="22"/>
              </w:rPr>
              <w:t xml:space="preserve">  </w:t>
            </w:r>
            <w:r w:rsidRPr="00EB7B37">
              <w:rPr>
                <w:rFonts w:ascii="黑体" w:eastAsia="黑体" w:hAnsi="黑体" w:cs="宋体"/>
                <w:b/>
                <w:bCs/>
                <w:color w:val="000000"/>
                <w:kern w:val="0"/>
                <w:sz w:val="22"/>
                <w:szCs w:val="22"/>
              </w:rPr>
              <w:t xml:space="preserve"> </w:t>
            </w:r>
            <w:r w:rsidR="00CF4113">
              <w:rPr>
                <w:rFonts w:ascii="黑体" w:eastAsia="黑体" w:hAnsi="黑体" w:cs="宋体"/>
                <w:b/>
                <w:bCs/>
                <w:color w:val="000000"/>
                <w:kern w:val="0"/>
                <w:sz w:val="22"/>
                <w:szCs w:val="22"/>
              </w:rPr>
              <w:t xml:space="preserve"> </w:t>
            </w:r>
            <w:r w:rsidRPr="00EB7B37">
              <w:rPr>
                <w:rFonts w:ascii="黑体" w:eastAsia="黑体" w:hAnsi="黑体" w:cs="宋体" w:hint="eastAsia"/>
                <w:b/>
                <w:bCs/>
                <w:color w:val="000000"/>
                <w:kern w:val="0"/>
                <w:sz w:val="22"/>
                <w:szCs w:val="22"/>
              </w:rPr>
              <w:t xml:space="preserve"> 出版社：北京</w:t>
            </w:r>
            <w:r w:rsidRPr="00EB7B37">
              <w:rPr>
                <w:rFonts w:ascii="黑体" w:eastAsia="黑体" w:hAnsi="黑体" w:cs="宋体"/>
                <w:b/>
                <w:bCs/>
                <w:color w:val="000000"/>
                <w:kern w:val="0"/>
                <w:sz w:val="22"/>
                <w:szCs w:val="22"/>
              </w:rPr>
              <w:t>大学出版社</w:t>
            </w:r>
            <w:r w:rsidRPr="00EB7B37">
              <w:rPr>
                <w:rFonts w:ascii="黑体" w:eastAsia="黑体" w:hAnsi="黑体" w:cs="宋体" w:hint="eastAsia"/>
                <w:b/>
                <w:bCs/>
                <w:color w:val="000000"/>
                <w:kern w:val="0"/>
                <w:sz w:val="22"/>
                <w:szCs w:val="22"/>
              </w:rPr>
              <w:br/>
              <w:t>开本：</w:t>
            </w:r>
            <w:r w:rsidRPr="00EB7B37">
              <w:rPr>
                <w:rFonts w:ascii="黑体" w:eastAsia="黑体" w:hAnsi="黑体" w:cs="宋体"/>
                <w:b/>
                <w:bCs/>
                <w:color w:val="000000"/>
                <w:kern w:val="0"/>
                <w:sz w:val="22"/>
                <w:szCs w:val="22"/>
              </w:rPr>
              <w:t>32</w:t>
            </w:r>
            <w:r w:rsidRPr="00EB7B37">
              <w:rPr>
                <w:rFonts w:ascii="黑体" w:eastAsia="黑体" w:hAnsi="黑体" w:cs="宋体" w:hint="eastAsia"/>
                <w:b/>
                <w:bCs/>
                <w:color w:val="000000"/>
                <w:kern w:val="0"/>
                <w:sz w:val="22"/>
                <w:szCs w:val="22"/>
              </w:rPr>
              <w:t xml:space="preserve">           </w:t>
            </w:r>
            <w:r w:rsidRPr="00EB7B37">
              <w:rPr>
                <w:rFonts w:ascii="黑体" w:eastAsia="黑体" w:hAnsi="黑体" w:cs="宋体"/>
                <w:b/>
                <w:bCs/>
                <w:color w:val="000000"/>
                <w:kern w:val="0"/>
                <w:sz w:val="22"/>
                <w:szCs w:val="22"/>
              </w:rPr>
              <w:t xml:space="preserve"> </w:t>
            </w:r>
            <w:r w:rsidRPr="00EB7B37">
              <w:rPr>
                <w:rFonts w:ascii="黑体" w:eastAsia="黑体" w:hAnsi="黑体" w:cs="宋体" w:hint="eastAsia"/>
                <w:b/>
                <w:bCs/>
                <w:color w:val="000000"/>
                <w:kern w:val="0"/>
                <w:sz w:val="22"/>
                <w:szCs w:val="22"/>
              </w:rPr>
              <w:t xml:space="preserve"> 印张：</w:t>
            </w:r>
            <w:r w:rsidRPr="00EB7B37">
              <w:rPr>
                <w:rFonts w:ascii="黑体" w:eastAsia="黑体" w:hAnsi="黑体" w:cs="宋体"/>
                <w:b/>
                <w:bCs/>
                <w:color w:val="000000"/>
                <w:kern w:val="0"/>
                <w:sz w:val="22"/>
                <w:szCs w:val="22"/>
              </w:rPr>
              <w:t>1</w:t>
            </w:r>
            <w:r w:rsidRPr="00EB7B37">
              <w:rPr>
                <w:rFonts w:ascii="黑体" w:eastAsia="黑体" w:hAnsi="黑体" w:cs="宋体" w:hint="eastAsia"/>
                <w:b/>
                <w:bCs/>
                <w:color w:val="000000"/>
                <w:kern w:val="0"/>
                <w:sz w:val="22"/>
                <w:szCs w:val="22"/>
              </w:rPr>
              <w:t>7.62</w:t>
            </w:r>
            <w:r w:rsidRPr="00EB7B37">
              <w:rPr>
                <w:rFonts w:ascii="黑体" w:eastAsia="黑体" w:hAnsi="黑体" w:cs="宋体"/>
                <w:b/>
                <w:bCs/>
                <w:color w:val="000000"/>
                <w:kern w:val="0"/>
                <w:sz w:val="22"/>
                <w:szCs w:val="22"/>
              </w:rPr>
              <w:t>5</w:t>
            </w:r>
            <w:r w:rsidRPr="00EB7B37">
              <w:rPr>
                <w:rFonts w:ascii="黑体" w:eastAsia="黑体" w:hAnsi="黑体" w:cs="宋体" w:hint="eastAsia"/>
                <w:b/>
                <w:bCs/>
                <w:color w:val="000000"/>
                <w:kern w:val="0"/>
                <w:sz w:val="22"/>
                <w:szCs w:val="22"/>
              </w:rPr>
              <w:br/>
              <w:t>页码：564</w:t>
            </w:r>
          </w:p>
          <w:p w:rsidR="00503DEC" w:rsidRPr="00EB7B37" w:rsidRDefault="00503DEC" w:rsidP="007B3CFB">
            <w:pPr>
              <w:widowControl/>
              <w:spacing w:line="320" w:lineRule="exact"/>
              <w:jc w:val="left"/>
              <w:rPr>
                <w:rFonts w:ascii="黑体" w:eastAsia="黑体" w:hAnsi="黑体" w:cs="宋体"/>
                <w:b/>
                <w:bCs/>
                <w:color w:val="000000"/>
                <w:kern w:val="0"/>
                <w:sz w:val="22"/>
                <w:szCs w:val="22"/>
              </w:rPr>
            </w:pPr>
            <w:r w:rsidRPr="00EB7B37">
              <w:rPr>
                <w:rFonts w:ascii="黑体" w:eastAsia="黑体" w:hAnsi="黑体" w:cs="宋体" w:hint="eastAsia"/>
                <w:b/>
                <w:bCs/>
                <w:color w:val="000000"/>
                <w:kern w:val="0"/>
                <w:sz w:val="22"/>
                <w:szCs w:val="22"/>
              </w:rPr>
              <w:t>目标销量</w:t>
            </w:r>
            <w:r w:rsidRPr="00EB7B37">
              <w:rPr>
                <w:rFonts w:ascii="黑体" w:eastAsia="黑体" w:hAnsi="黑体" w:cs="宋体"/>
                <w:b/>
                <w:bCs/>
                <w:color w:val="000000"/>
                <w:kern w:val="0"/>
                <w:sz w:val="22"/>
                <w:szCs w:val="22"/>
              </w:rPr>
              <w:t>：</w:t>
            </w:r>
            <w:r w:rsidR="00962A65">
              <w:rPr>
                <w:rFonts w:ascii="黑体" w:eastAsia="黑体" w:hAnsi="黑体" w:cs="宋体"/>
                <w:b/>
                <w:bCs/>
                <w:color w:val="000000"/>
                <w:kern w:val="0"/>
                <w:sz w:val="22"/>
                <w:szCs w:val="22"/>
              </w:rPr>
              <w:t>5</w:t>
            </w:r>
            <w:r w:rsidRPr="00EB7B37">
              <w:rPr>
                <w:rFonts w:ascii="黑体" w:eastAsia="黑体" w:hAnsi="黑体" w:cs="宋体"/>
                <w:b/>
                <w:bCs/>
                <w:color w:val="000000"/>
                <w:kern w:val="0"/>
                <w:sz w:val="22"/>
                <w:szCs w:val="22"/>
              </w:rPr>
              <w:t>0</w:t>
            </w:r>
            <w:r w:rsidRPr="00EB7B37">
              <w:rPr>
                <w:rFonts w:ascii="黑体" w:eastAsia="黑体" w:hAnsi="黑体" w:cs="宋体" w:hint="eastAsia"/>
                <w:b/>
                <w:bCs/>
                <w:color w:val="000000"/>
                <w:kern w:val="0"/>
                <w:sz w:val="22"/>
                <w:szCs w:val="22"/>
              </w:rPr>
              <w:t>000册</w:t>
            </w:r>
          </w:p>
          <w:p w:rsidR="00503DEC" w:rsidRPr="00EB7B37" w:rsidRDefault="00503DEC" w:rsidP="007B3CFB">
            <w:pPr>
              <w:widowControl/>
              <w:spacing w:line="320" w:lineRule="exact"/>
              <w:jc w:val="left"/>
              <w:rPr>
                <w:rFonts w:ascii="黑体" w:eastAsia="黑体" w:hAnsi="黑体" w:cs="宋体"/>
                <w:b/>
                <w:bCs/>
                <w:color w:val="000000"/>
                <w:kern w:val="0"/>
                <w:sz w:val="22"/>
                <w:szCs w:val="22"/>
              </w:rPr>
            </w:pPr>
            <w:r w:rsidRPr="00EB7B37">
              <w:rPr>
                <w:rFonts w:ascii="黑体" w:eastAsia="黑体" w:hAnsi="黑体" w:cs="宋体" w:hint="eastAsia"/>
                <w:b/>
                <w:bCs/>
                <w:color w:val="000000"/>
                <w:kern w:val="0"/>
                <w:sz w:val="22"/>
                <w:szCs w:val="22"/>
              </w:rPr>
              <w:t xml:space="preserve">上架建议：法律/学习方法  　</w:t>
            </w:r>
          </w:p>
          <w:p w:rsidR="00503DEC" w:rsidRPr="00EB7B37" w:rsidRDefault="00503DEC" w:rsidP="007B3CFB">
            <w:pPr>
              <w:spacing w:line="320" w:lineRule="exact"/>
              <w:jc w:val="left"/>
              <w:rPr>
                <w:rFonts w:ascii="黑体" w:eastAsia="黑体" w:hAnsi="黑体" w:cs="宋体"/>
                <w:b/>
                <w:bCs/>
                <w:color w:val="000000"/>
                <w:kern w:val="0"/>
                <w:sz w:val="22"/>
                <w:szCs w:val="22"/>
              </w:rPr>
            </w:pPr>
            <w:r w:rsidRPr="00EB7B37">
              <w:rPr>
                <w:rFonts w:ascii="黑体" w:eastAsia="黑体" w:hAnsi="黑体" w:cs="宋体" w:hint="eastAsia"/>
                <w:b/>
                <w:bCs/>
                <w:color w:val="000000"/>
                <w:kern w:val="0"/>
                <w:sz w:val="22"/>
                <w:szCs w:val="22"/>
              </w:rPr>
              <w:t xml:space="preserve">读者对象：主要是法学院师生 </w:t>
            </w:r>
            <w:r w:rsidRPr="00EB7B37">
              <w:rPr>
                <w:rFonts w:ascii="黑体" w:eastAsia="黑体" w:hAnsi="黑体" w:cs="宋体"/>
                <w:b/>
                <w:bCs/>
                <w:color w:val="000000"/>
                <w:kern w:val="0"/>
                <w:sz w:val="22"/>
                <w:szCs w:val="22"/>
              </w:rPr>
              <w:t xml:space="preserve"> </w:t>
            </w:r>
          </w:p>
        </w:tc>
        <w:tc>
          <w:tcPr>
            <w:tcW w:w="5846" w:type="dxa"/>
            <w:tcBorders>
              <w:tl2br w:val="nil"/>
              <w:tr2bl w:val="nil"/>
            </w:tcBorders>
          </w:tcPr>
          <w:p w:rsidR="00503DEC" w:rsidRPr="00EB7B37" w:rsidRDefault="00503DEC" w:rsidP="00997EE2">
            <w:pPr>
              <w:widowControl/>
              <w:jc w:val="center"/>
              <w:rPr>
                <w:rFonts w:asciiTheme="minorEastAsia" w:hAnsiTheme="minorEastAsia" w:cs="宋体"/>
                <w:b/>
                <w:color w:val="0070C0"/>
                <w:kern w:val="0"/>
                <w:sz w:val="22"/>
                <w:szCs w:val="22"/>
              </w:rPr>
            </w:pPr>
            <w:r w:rsidRPr="00EB7B37">
              <w:rPr>
                <w:rFonts w:asciiTheme="minorEastAsia" w:hAnsiTheme="minorEastAsia" w:cs="宋体" w:hint="eastAsia"/>
                <w:b/>
                <w:color w:val="0070C0"/>
                <w:kern w:val="0"/>
                <w:sz w:val="22"/>
                <w:szCs w:val="22"/>
              </w:rPr>
              <w:t>延伸阅读</w:t>
            </w:r>
          </w:p>
          <w:p w:rsidR="00503DEC" w:rsidRPr="00A003B4" w:rsidRDefault="00503DEC" w:rsidP="00A003B4">
            <w:pPr>
              <w:pStyle w:val="a3"/>
              <w:ind w:firstLineChars="200" w:firstLine="440"/>
              <w:jc w:val="left"/>
              <w:rPr>
                <w:rFonts w:asciiTheme="minorHAnsi" w:eastAsiaTheme="minorEastAsia" w:hAnsiTheme="minorHAnsi" w:cstheme="minorBidi"/>
                <w:sz w:val="22"/>
                <w:szCs w:val="22"/>
              </w:rPr>
            </w:pPr>
            <w:r w:rsidRPr="00A003B4">
              <w:rPr>
                <w:rFonts w:asciiTheme="minorHAnsi" w:eastAsiaTheme="minorEastAsia" w:hAnsiTheme="minorHAnsi" w:cstheme="minorBidi" w:hint="eastAsia"/>
                <w:sz w:val="22"/>
                <w:szCs w:val="22"/>
              </w:rPr>
              <w:t>[</w:t>
            </w:r>
            <w:r w:rsidRPr="00A003B4">
              <w:rPr>
                <w:rFonts w:asciiTheme="minorHAnsi" w:eastAsiaTheme="minorEastAsia" w:hAnsiTheme="minorHAnsi" w:cstheme="minorBidi" w:hint="eastAsia"/>
                <w:sz w:val="22"/>
                <w:szCs w:val="22"/>
              </w:rPr>
              <w:t>法科生四部曲已有三：学习</w:t>
            </w:r>
            <w:r w:rsidRPr="00A003B4">
              <w:rPr>
                <w:rFonts w:asciiTheme="minorHAnsi" w:eastAsiaTheme="minorEastAsia" w:hAnsiTheme="minorHAnsi" w:cstheme="minorBidi" w:hint="eastAsia"/>
                <w:sz w:val="22"/>
                <w:szCs w:val="22"/>
              </w:rPr>
              <w:t>-</w:t>
            </w:r>
            <w:r w:rsidRPr="00A003B4">
              <w:rPr>
                <w:rFonts w:asciiTheme="minorHAnsi" w:eastAsiaTheme="minorEastAsia" w:hAnsiTheme="minorHAnsi" w:cstheme="minorBidi" w:hint="eastAsia"/>
                <w:sz w:val="22"/>
                <w:szCs w:val="22"/>
              </w:rPr>
              <w:t>做题</w:t>
            </w:r>
            <w:r w:rsidRPr="00A003B4">
              <w:rPr>
                <w:rFonts w:asciiTheme="minorHAnsi" w:eastAsiaTheme="minorEastAsia" w:hAnsiTheme="minorHAnsi" w:cstheme="minorBidi" w:hint="eastAsia"/>
                <w:sz w:val="22"/>
                <w:szCs w:val="22"/>
              </w:rPr>
              <w:t>-</w:t>
            </w:r>
            <w:r w:rsidRPr="00A003B4">
              <w:rPr>
                <w:rFonts w:asciiTheme="minorHAnsi" w:eastAsiaTheme="minorEastAsia" w:hAnsiTheme="minorHAnsi" w:cstheme="minorBidi" w:hint="eastAsia"/>
                <w:sz w:val="22"/>
                <w:szCs w:val="22"/>
              </w:rPr>
              <w:t>写论文</w:t>
            </w:r>
            <w:r w:rsidRPr="00A003B4">
              <w:rPr>
                <w:rFonts w:asciiTheme="minorHAnsi" w:eastAsiaTheme="minorEastAsia" w:hAnsiTheme="minorHAnsi" w:cstheme="minorBidi" w:hint="eastAsia"/>
                <w:sz w:val="22"/>
                <w:szCs w:val="22"/>
              </w:rPr>
              <w:t>-</w:t>
            </w:r>
            <w:r w:rsidRPr="00A003B4">
              <w:rPr>
                <w:rFonts w:asciiTheme="minorHAnsi" w:eastAsiaTheme="minorEastAsia" w:hAnsiTheme="minorHAnsi" w:cstheme="minorBidi" w:hint="eastAsia"/>
                <w:sz w:val="22"/>
                <w:szCs w:val="22"/>
              </w:rPr>
              <w:t>就业</w:t>
            </w:r>
            <w:r w:rsidRPr="00A003B4">
              <w:rPr>
                <w:rFonts w:asciiTheme="minorHAnsi" w:eastAsiaTheme="minorEastAsia" w:hAnsiTheme="minorHAnsi" w:cstheme="minorBidi" w:hint="eastAsia"/>
                <w:sz w:val="22"/>
                <w:szCs w:val="22"/>
              </w:rPr>
              <w:t>]</w:t>
            </w:r>
          </w:p>
          <w:p w:rsidR="00503DEC" w:rsidRPr="00EB7B37" w:rsidRDefault="00503DEC" w:rsidP="00A003B4">
            <w:pPr>
              <w:pStyle w:val="a3"/>
              <w:ind w:firstLineChars="200" w:firstLine="440"/>
              <w:jc w:val="left"/>
              <w:rPr>
                <w:rFonts w:ascii="Arial" w:hAnsi="Arial" w:cs="Arial"/>
                <w:color w:val="333333"/>
                <w:sz w:val="22"/>
                <w:szCs w:val="22"/>
              </w:rPr>
            </w:pPr>
            <w:r w:rsidRPr="00A003B4">
              <w:rPr>
                <w:rFonts w:asciiTheme="minorHAnsi" w:eastAsiaTheme="minorEastAsia" w:hAnsiTheme="minorHAnsi" w:cstheme="minorBidi" w:hint="eastAsia"/>
                <w:sz w:val="22"/>
                <w:szCs w:val="22"/>
              </w:rPr>
              <w:t>《如何解答法律题：解题三段论、正确的表达和格式》（</w:t>
            </w:r>
            <w:r w:rsidRPr="00A003B4">
              <w:rPr>
                <w:rFonts w:asciiTheme="minorHAnsi" w:eastAsiaTheme="minorEastAsia" w:hAnsiTheme="minorHAnsi" w:cstheme="minorBidi" w:hint="eastAsia"/>
                <w:sz w:val="22"/>
                <w:szCs w:val="22"/>
              </w:rPr>
              <w:t>[</w:t>
            </w:r>
            <w:r w:rsidRPr="00A003B4">
              <w:rPr>
                <w:rFonts w:asciiTheme="minorHAnsi" w:eastAsiaTheme="minorEastAsia" w:hAnsiTheme="minorHAnsi" w:cstheme="minorBidi" w:hint="eastAsia"/>
                <w:sz w:val="22"/>
                <w:szCs w:val="22"/>
              </w:rPr>
              <w:t>德</w:t>
            </w:r>
            <w:r w:rsidRPr="00A003B4">
              <w:rPr>
                <w:rFonts w:asciiTheme="minorHAnsi" w:eastAsiaTheme="minorEastAsia" w:hAnsiTheme="minorHAnsi" w:cstheme="minorBidi"/>
                <w:sz w:val="22"/>
                <w:szCs w:val="22"/>
              </w:rPr>
              <w:t>]</w:t>
            </w:r>
            <w:r w:rsidRPr="00A003B4">
              <w:rPr>
                <w:rFonts w:asciiTheme="minorHAnsi" w:eastAsiaTheme="minorEastAsia" w:hAnsiTheme="minorHAnsi" w:cstheme="minorBidi" w:hint="eastAsia"/>
                <w:sz w:val="22"/>
                <w:szCs w:val="22"/>
              </w:rPr>
              <w:t>罗兰德</w:t>
            </w:r>
            <w:r w:rsidRPr="00A003B4">
              <w:rPr>
                <w:rFonts w:asciiTheme="minorHAnsi" w:eastAsiaTheme="minorEastAsia" w:hAnsiTheme="minorHAnsi" w:cstheme="minorBidi"/>
                <w:sz w:val="22"/>
                <w:szCs w:val="22"/>
              </w:rPr>
              <w:t>·</w:t>
            </w:r>
            <w:r w:rsidRPr="00A003B4">
              <w:rPr>
                <w:rFonts w:asciiTheme="minorHAnsi" w:eastAsiaTheme="minorEastAsia" w:hAnsiTheme="minorHAnsi" w:cstheme="minorBidi" w:hint="eastAsia"/>
                <w:sz w:val="22"/>
                <w:szCs w:val="22"/>
              </w:rPr>
              <w:t>史梅尔著，北京大学出版社</w:t>
            </w:r>
            <w:r w:rsidRPr="00A003B4">
              <w:rPr>
                <w:rFonts w:asciiTheme="minorHAnsi" w:eastAsiaTheme="minorEastAsia" w:hAnsiTheme="minorHAnsi" w:cstheme="minorBidi" w:hint="eastAsia"/>
                <w:sz w:val="22"/>
                <w:szCs w:val="22"/>
              </w:rPr>
              <w:t>201</w:t>
            </w:r>
            <w:r w:rsidRPr="00A003B4">
              <w:rPr>
                <w:rFonts w:asciiTheme="minorHAnsi" w:eastAsiaTheme="minorEastAsia" w:hAnsiTheme="minorHAnsi" w:cstheme="minorBidi"/>
                <w:sz w:val="22"/>
                <w:szCs w:val="22"/>
              </w:rPr>
              <w:t>9</w:t>
            </w:r>
            <w:r w:rsidRPr="00A003B4">
              <w:rPr>
                <w:rFonts w:asciiTheme="minorHAnsi" w:eastAsiaTheme="minorEastAsia" w:hAnsiTheme="minorHAnsi" w:cstheme="minorBidi" w:hint="eastAsia"/>
                <w:sz w:val="22"/>
                <w:szCs w:val="22"/>
              </w:rPr>
              <w:t>年</w:t>
            </w:r>
            <w:r w:rsidRPr="00A003B4">
              <w:rPr>
                <w:rFonts w:asciiTheme="minorHAnsi" w:eastAsiaTheme="minorEastAsia" w:hAnsiTheme="minorHAnsi" w:cstheme="minorBidi"/>
                <w:sz w:val="22"/>
                <w:szCs w:val="22"/>
              </w:rPr>
              <w:t>1</w:t>
            </w:r>
            <w:r w:rsidRPr="00A003B4">
              <w:rPr>
                <w:rFonts w:asciiTheme="minorHAnsi" w:eastAsiaTheme="minorEastAsia" w:hAnsiTheme="minorHAnsi" w:cstheme="minorBidi" w:hint="eastAsia"/>
                <w:sz w:val="22"/>
                <w:szCs w:val="22"/>
              </w:rPr>
              <w:t>月版）</w:t>
            </w:r>
            <w:r w:rsidRPr="00A003B4">
              <w:rPr>
                <w:rFonts w:asciiTheme="minorHAnsi" w:eastAsiaTheme="minorEastAsia" w:hAnsiTheme="minorHAnsi" w:cstheme="minorBidi"/>
                <w:sz w:val="22"/>
                <w:szCs w:val="22"/>
              </w:rPr>
              <w:br/>
            </w:r>
            <w:r w:rsidRPr="00A003B4">
              <w:rPr>
                <w:rFonts w:asciiTheme="minorHAnsi" w:eastAsiaTheme="minorEastAsia" w:hAnsiTheme="minorHAnsi" w:cstheme="minorBidi" w:hint="eastAsia"/>
                <w:sz w:val="22"/>
                <w:szCs w:val="22"/>
              </w:rPr>
              <w:t xml:space="preserve"> </w:t>
            </w:r>
            <w:r w:rsidRPr="00A003B4">
              <w:rPr>
                <w:rFonts w:asciiTheme="minorHAnsi" w:eastAsiaTheme="minorEastAsia" w:hAnsiTheme="minorHAnsi" w:cstheme="minorBidi" w:hint="eastAsia"/>
                <w:sz w:val="22"/>
                <w:szCs w:val="22"/>
              </w:rPr>
              <w:t>《法律研习的方法：作业、考试和论文写作（第</w:t>
            </w:r>
            <w:r w:rsidRPr="00A003B4">
              <w:rPr>
                <w:rFonts w:asciiTheme="minorHAnsi" w:eastAsiaTheme="minorEastAsia" w:hAnsiTheme="minorHAnsi" w:cstheme="minorBidi" w:hint="eastAsia"/>
                <w:sz w:val="22"/>
                <w:szCs w:val="22"/>
              </w:rPr>
              <w:t>9</w:t>
            </w:r>
            <w:r w:rsidRPr="00A003B4">
              <w:rPr>
                <w:rFonts w:asciiTheme="minorHAnsi" w:eastAsiaTheme="minorEastAsia" w:hAnsiTheme="minorHAnsi" w:cstheme="minorBidi" w:hint="eastAsia"/>
                <w:sz w:val="22"/>
                <w:szCs w:val="22"/>
              </w:rPr>
              <w:t>版）》（［德］托马斯•</w:t>
            </w:r>
            <w:r w:rsidRPr="00A003B4">
              <w:rPr>
                <w:rFonts w:asciiTheme="minorHAnsi" w:eastAsiaTheme="minorEastAsia" w:hAnsiTheme="minorHAnsi" w:cstheme="minorBidi" w:hint="eastAsia"/>
                <w:sz w:val="22"/>
                <w:szCs w:val="22"/>
              </w:rPr>
              <w:t>M.</w:t>
            </w:r>
            <w:r w:rsidRPr="00A003B4">
              <w:rPr>
                <w:rFonts w:asciiTheme="minorHAnsi" w:eastAsiaTheme="minorEastAsia" w:hAnsiTheme="minorHAnsi" w:cstheme="minorBidi"/>
                <w:sz w:val="22"/>
                <w:szCs w:val="22"/>
              </w:rPr>
              <w:t>J.</w:t>
            </w:r>
            <w:r w:rsidRPr="00A003B4">
              <w:rPr>
                <w:rFonts w:asciiTheme="minorHAnsi" w:eastAsiaTheme="minorEastAsia" w:hAnsiTheme="minorHAnsi" w:cstheme="minorBidi" w:hint="eastAsia"/>
                <w:sz w:val="22"/>
                <w:szCs w:val="22"/>
              </w:rPr>
              <w:t>默勒斯</w:t>
            </w:r>
            <w:r w:rsidRPr="00A003B4">
              <w:rPr>
                <w:rFonts w:asciiTheme="minorHAnsi" w:eastAsiaTheme="minorEastAsia" w:hAnsiTheme="minorHAnsi" w:cstheme="minorBidi" w:hint="eastAsia"/>
                <w:sz w:val="22"/>
                <w:szCs w:val="22"/>
              </w:rPr>
              <w:t xml:space="preserve"> </w:t>
            </w:r>
            <w:r w:rsidRPr="00A003B4">
              <w:rPr>
                <w:rFonts w:asciiTheme="minorHAnsi" w:eastAsiaTheme="minorEastAsia" w:hAnsiTheme="minorHAnsi" w:cstheme="minorBidi" w:hint="eastAsia"/>
                <w:sz w:val="22"/>
                <w:szCs w:val="22"/>
              </w:rPr>
              <w:t>著，北京大学出版社</w:t>
            </w:r>
            <w:r w:rsidRPr="00A003B4">
              <w:rPr>
                <w:rFonts w:asciiTheme="minorHAnsi" w:eastAsiaTheme="minorEastAsia" w:hAnsiTheme="minorHAnsi" w:cstheme="minorBidi" w:hint="eastAsia"/>
                <w:sz w:val="22"/>
                <w:szCs w:val="22"/>
              </w:rPr>
              <w:t>2019</w:t>
            </w:r>
            <w:r w:rsidRPr="00A003B4">
              <w:rPr>
                <w:rFonts w:asciiTheme="minorHAnsi" w:eastAsiaTheme="minorEastAsia" w:hAnsiTheme="minorHAnsi" w:cstheme="minorBidi" w:hint="eastAsia"/>
                <w:sz w:val="22"/>
                <w:szCs w:val="22"/>
              </w:rPr>
              <w:t>年</w:t>
            </w:r>
            <w:r w:rsidRPr="00A003B4">
              <w:rPr>
                <w:rFonts w:asciiTheme="minorHAnsi" w:eastAsiaTheme="minorEastAsia" w:hAnsiTheme="minorHAnsi" w:cstheme="minorBidi" w:hint="eastAsia"/>
                <w:sz w:val="22"/>
                <w:szCs w:val="22"/>
              </w:rPr>
              <w:t>6</w:t>
            </w:r>
            <w:r w:rsidRPr="00A003B4">
              <w:rPr>
                <w:rFonts w:asciiTheme="minorHAnsi" w:eastAsiaTheme="minorEastAsia" w:hAnsiTheme="minorHAnsi" w:cstheme="minorBidi" w:hint="eastAsia"/>
                <w:sz w:val="22"/>
                <w:szCs w:val="22"/>
              </w:rPr>
              <w:t>月版）</w:t>
            </w:r>
          </w:p>
        </w:tc>
      </w:tr>
      <w:tr w:rsidR="00503DEC" w:rsidRPr="00EB7B37" w:rsidTr="00253957">
        <w:trPr>
          <w:trHeight w:val="2573"/>
        </w:trPr>
        <w:tc>
          <w:tcPr>
            <w:tcW w:w="5495" w:type="dxa"/>
            <w:vMerge/>
            <w:tcBorders>
              <w:tl2br w:val="nil"/>
              <w:tr2bl w:val="nil"/>
            </w:tcBorders>
          </w:tcPr>
          <w:p w:rsidR="00503DEC" w:rsidRPr="00EB7B37" w:rsidRDefault="00503DEC" w:rsidP="00997EE2">
            <w:pPr>
              <w:rPr>
                <w:sz w:val="22"/>
                <w:szCs w:val="22"/>
              </w:rPr>
            </w:pPr>
          </w:p>
        </w:tc>
        <w:tc>
          <w:tcPr>
            <w:tcW w:w="5846" w:type="dxa"/>
            <w:tcBorders>
              <w:tl2br w:val="nil"/>
              <w:tr2bl w:val="nil"/>
            </w:tcBorders>
          </w:tcPr>
          <w:p w:rsidR="00503DEC" w:rsidRPr="00EB7B37" w:rsidRDefault="00D4276D" w:rsidP="00997EE2">
            <w:pPr>
              <w:widowControl/>
              <w:jc w:val="center"/>
              <w:rPr>
                <w:rFonts w:asciiTheme="minorEastAsia" w:hAnsiTheme="minorEastAsia" w:cs="宋体"/>
                <w:b/>
                <w:color w:val="0070C0"/>
                <w:kern w:val="0"/>
                <w:sz w:val="22"/>
                <w:szCs w:val="22"/>
              </w:rPr>
            </w:pPr>
            <w:r>
              <w:rPr>
                <w:rFonts w:asciiTheme="minorEastAsia" w:hAnsiTheme="minorEastAsia" w:cs="宋体" w:hint="eastAsia"/>
                <w:b/>
                <w:color w:val="0070C0"/>
                <w:kern w:val="0"/>
                <w:sz w:val="22"/>
                <w:szCs w:val="22"/>
              </w:rPr>
              <w:t>作者</w:t>
            </w:r>
            <w:r w:rsidR="00503DEC" w:rsidRPr="00EB7B37">
              <w:rPr>
                <w:rFonts w:asciiTheme="minorEastAsia" w:hAnsiTheme="minorEastAsia" w:cs="宋体" w:hint="eastAsia"/>
                <w:b/>
                <w:color w:val="0070C0"/>
                <w:kern w:val="0"/>
                <w:sz w:val="22"/>
                <w:szCs w:val="22"/>
              </w:rPr>
              <w:t>简介</w:t>
            </w:r>
          </w:p>
          <w:p w:rsidR="00503DEC" w:rsidRPr="00A003B4" w:rsidRDefault="00503DEC" w:rsidP="00A003B4">
            <w:pPr>
              <w:pStyle w:val="a3"/>
              <w:ind w:firstLineChars="200" w:firstLine="440"/>
              <w:jc w:val="left"/>
              <w:rPr>
                <w:rFonts w:asciiTheme="minorHAnsi" w:eastAsiaTheme="minorEastAsia" w:hAnsiTheme="minorHAnsi" w:cstheme="minorBidi"/>
                <w:sz w:val="22"/>
                <w:szCs w:val="22"/>
              </w:rPr>
            </w:pPr>
            <w:r w:rsidRPr="00A003B4">
              <w:rPr>
                <w:rFonts w:asciiTheme="minorHAnsi" w:eastAsiaTheme="minorEastAsia" w:hAnsiTheme="minorHAnsi" w:cstheme="minorBidi" w:hint="eastAsia"/>
                <w:sz w:val="22"/>
                <w:szCs w:val="22"/>
              </w:rPr>
              <w:t>〔德〕芭芭拉·朗格（</w:t>
            </w:r>
            <w:r w:rsidRPr="00A003B4">
              <w:rPr>
                <w:rFonts w:asciiTheme="minorHAnsi" w:eastAsiaTheme="minorEastAsia" w:hAnsiTheme="minorHAnsi" w:cstheme="minorBidi"/>
                <w:sz w:val="22"/>
                <w:szCs w:val="22"/>
              </w:rPr>
              <w:t>Barbara Lange</w:t>
            </w:r>
            <w:r w:rsidRPr="00A003B4">
              <w:rPr>
                <w:rFonts w:asciiTheme="minorHAnsi" w:eastAsiaTheme="minorEastAsia" w:hAnsiTheme="minorHAnsi" w:cstheme="minorBidi"/>
                <w:sz w:val="22"/>
                <w:szCs w:val="22"/>
              </w:rPr>
              <w:t>），德国律师，德国图宾根大学、哈勒</w:t>
            </w:r>
            <w:r w:rsidRPr="00A003B4">
              <w:rPr>
                <w:rFonts w:asciiTheme="minorHAnsi" w:eastAsiaTheme="minorEastAsia" w:hAnsiTheme="minorHAnsi" w:cstheme="minorBidi"/>
                <w:sz w:val="22"/>
                <w:szCs w:val="22"/>
              </w:rPr>
              <w:t>-</w:t>
            </w:r>
            <w:proofErr w:type="gramStart"/>
            <w:r w:rsidRPr="00A003B4">
              <w:rPr>
                <w:rFonts w:asciiTheme="minorHAnsi" w:eastAsiaTheme="minorEastAsia" w:hAnsiTheme="minorHAnsi" w:cstheme="minorBidi"/>
                <w:sz w:val="22"/>
                <w:szCs w:val="22"/>
              </w:rPr>
              <w:t>威腾堡</w:t>
            </w:r>
            <w:proofErr w:type="gramEnd"/>
            <w:r w:rsidRPr="00A003B4">
              <w:rPr>
                <w:rFonts w:asciiTheme="minorHAnsi" w:eastAsiaTheme="minorEastAsia" w:hAnsiTheme="minorHAnsi" w:cstheme="minorBidi"/>
                <w:sz w:val="22"/>
                <w:szCs w:val="22"/>
              </w:rPr>
              <w:t>大学、帕</w:t>
            </w:r>
            <w:proofErr w:type="gramStart"/>
            <w:r w:rsidRPr="00A003B4">
              <w:rPr>
                <w:rFonts w:asciiTheme="minorHAnsi" w:eastAsiaTheme="minorEastAsia" w:hAnsiTheme="minorHAnsi" w:cstheme="minorBidi"/>
                <w:sz w:val="22"/>
                <w:szCs w:val="22"/>
              </w:rPr>
              <w:t>绍</w:t>
            </w:r>
            <w:proofErr w:type="gramEnd"/>
            <w:r w:rsidRPr="00A003B4">
              <w:rPr>
                <w:rFonts w:asciiTheme="minorHAnsi" w:eastAsiaTheme="minorEastAsia" w:hAnsiTheme="minorHAnsi" w:cstheme="minorBidi"/>
                <w:sz w:val="22"/>
                <w:szCs w:val="22"/>
              </w:rPr>
              <w:t>大学兼职讲师，德国尼尔廷根</w:t>
            </w:r>
            <w:r w:rsidRPr="00A003B4">
              <w:rPr>
                <w:rFonts w:asciiTheme="minorHAnsi" w:eastAsiaTheme="minorEastAsia" w:hAnsiTheme="minorHAnsi" w:cstheme="minorBidi"/>
                <w:sz w:val="22"/>
                <w:szCs w:val="22"/>
              </w:rPr>
              <w:t>-</w:t>
            </w:r>
            <w:r w:rsidRPr="00A003B4">
              <w:rPr>
                <w:rFonts w:asciiTheme="minorHAnsi" w:eastAsiaTheme="minorEastAsia" w:hAnsiTheme="minorHAnsi" w:cstheme="minorBidi"/>
                <w:sz w:val="22"/>
                <w:szCs w:val="22"/>
              </w:rPr>
              <w:t>盖斯林根经济与环境高等学校兼职讲师，曾担任拜恩州州司法考试部门第一次国家考试阅卷人。</w:t>
            </w:r>
          </w:p>
          <w:p w:rsidR="00503DEC" w:rsidRPr="00EB7B37" w:rsidRDefault="00503DEC" w:rsidP="00A003B4">
            <w:pPr>
              <w:pStyle w:val="a3"/>
              <w:ind w:firstLineChars="200" w:firstLine="440"/>
              <w:jc w:val="left"/>
              <w:rPr>
                <w:sz w:val="22"/>
                <w:szCs w:val="22"/>
              </w:rPr>
            </w:pPr>
            <w:r w:rsidRPr="00A003B4">
              <w:rPr>
                <w:rFonts w:asciiTheme="minorHAnsi" w:eastAsiaTheme="minorEastAsia" w:hAnsiTheme="minorHAnsi" w:cstheme="minorBidi" w:hint="eastAsia"/>
                <w:sz w:val="22"/>
                <w:szCs w:val="22"/>
              </w:rPr>
              <w:t>译者简介</w:t>
            </w:r>
            <w:r w:rsidRPr="00A003B4">
              <w:rPr>
                <w:rFonts w:asciiTheme="minorHAnsi" w:eastAsiaTheme="minorEastAsia" w:hAnsiTheme="minorHAnsi" w:cstheme="minorBidi" w:hint="eastAsia"/>
                <w:sz w:val="22"/>
                <w:szCs w:val="22"/>
              </w:rPr>
              <w:t>:</w:t>
            </w:r>
            <w:r w:rsidRPr="00A003B4">
              <w:rPr>
                <w:rFonts w:asciiTheme="minorHAnsi" w:eastAsiaTheme="minorEastAsia" w:hAnsiTheme="minorHAnsi" w:cstheme="minorBidi" w:hint="eastAsia"/>
                <w:sz w:val="22"/>
                <w:szCs w:val="22"/>
              </w:rPr>
              <w:t>谭晓晓，山东人，中央民族大学法学学士，中国政法大学法学硕士，法兰克福大学法律硕士，德国明斯特大学在读博士生。主要研究方向：民法、知识产权法。</w:t>
            </w:r>
          </w:p>
        </w:tc>
      </w:tr>
      <w:tr w:rsidR="00503DEC" w:rsidRPr="00EB7B37" w:rsidTr="00997EE2">
        <w:trPr>
          <w:trHeight w:val="613"/>
        </w:trPr>
        <w:tc>
          <w:tcPr>
            <w:tcW w:w="11341" w:type="dxa"/>
            <w:gridSpan w:val="2"/>
            <w:tcBorders>
              <w:tl2br w:val="nil"/>
              <w:tr2bl w:val="nil"/>
            </w:tcBorders>
          </w:tcPr>
          <w:p w:rsidR="00503DEC" w:rsidRPr="00EB7B37" w:rsidRDefault="00503DEC" w:rsidP="00997EE2">
            <w:pPr>
              <w:widowControl/>
              <w:jc w:val="center"/>
              <w:rPr>
                <w:rFonts w:ascii="黑体" w:eastAsia="黑体" w:hAnsi="黑体" w:cs="宋体"/>
                <w:bCs/>
                <w:i/>
                <w:color w:val="0070C0"/>
                <w:kern w:val="0"/>
                <w:sz w:val="22"/>
                <w:szCs w:val="22"/>
              </w:rPr>
            </w:pPr>
            <w:r w:rsidRPr="00EB7B37">
              <w:rPr>
                <w:rFonts w:ascii="黑体" w:eastAsia="黑体" w:hAnsi="黑体" w:cs="宋体" w:hint="eastAsia"/>
                <w:bCs/>
                <w:i/>
                <w:color w:val="0070C0"/>
                <w:kern w:val="0"/>
                <w:sz w:val="22"/>
                <w:szCs w:val="22"/>
              </w:rPr>
              <w:t>附件</w:t>
            </w:r>
          </w:p>
          <w:p w:rsidR="00503DEC" w:rsidRPr="00EB7B37" w:rsidRDefault="00503DEC" w:rsidP="00997EE2">
            <w:pPr>
              <w:widowControl/>
              <w:jc w:val="left"/>
              <w:rPr>
                <w:rFonts w:ascii="黑体" w:eastAsia="黑体" w:hAnsi="黑体" w:cs="宋体"/>
                <w:bCs/>
                <w:i/>
                <w:color w:val="000000"/>
                <w:kern w:val="0"/>
                <w:sz w:val="22"/>
                <w:szCs w:val="22"/>
              </w:rPr>
            </w:pPr>
            <w:r w:rsidRPr="00EB7B37">
              <w:rPr>
                <w:rFonts w:ascii="黑体" w:eastAsia="黑体" w:hAnsi="黑体" w:cs="宋体" w:hint="eastAsia"/>
                <w:bCs/>
                <w:i/>
                <w:color w:val="000000"/>
                <w:kern w:val="0"/>
                <w:sz w:val="22"/>
                <w:szCs w:val="22"/>
              </w:rPr>
              <w:t>√</w:t>
            </w:r>
            <w:r w:rsidRPr="00EB7B37">
              <w:rPr>
                <w:rFonts w:ascii="宋体" w:eastAsia="宋体" w:hAnsi="宋体" w:cs="宋体" w:hint="eastAsia"/>
                <w:bCs/>
                <w:i/>
                <w:color w:val="000000"/>
                <w:kern w:val="0"/>
                <w:sz w:val="22"/>
                <w:szCs w:val="22"/>
              </w:rPr>
              <w:t>平面封</w:t>
            </w:r>
            <w:r w:rsidRPr="00EB7B37">
              <w:rPr>
                <w:rFonts w:ascii="黑体" w:eastAsia="黑体" w:hAnsi="黑体" w:cs="宋体" w:hint="eastAsia"/>
                <w:bCs/>
                <w:i/>
                <w:color w:val="000000"/>
                <w:kern w:val="0"/>
                <w:sz w:val="22"/>
                <w:szCs w:val="22"/>
              </w:rPr>
              <w:t xml:space="preserve">  √立体封   √</w:t>
            </w:r>
            <w:proofErr w:type="gramStart"/>
            <w:r w:rsidRPr="00EB7B37">
              <w:rPr>
                <w:rFonts w:ascii="黑体" w:eastAsia="黑体" w:hAnsi="黑体" w:cs="宋体" w:hint="eastAsia"/>
                <w:bCs/>
                <w:i/>
                <w:color w:val="000000"/>
                <w:kern w:val="0"/>
                <w:sz w:val="22"/>
                <w:szCs w:val="22"/>
              </w:rPr>
              <w:t>底封</w:t>
            </w:r>
            <w:proofErr w:type="gramEnd"/>
            <w:r w:rsidRPr="00EB7B37">
              <w:rPr>
                <w:rFonts w:ascii="黑体" w:eastAsia="黑体" w:hAnsi="黑体" w:cs="宋体" w:hint="eastAsia"/>
                <w:bCs/>
                <w:i/>
                <w:color w:val="000000"/>
                <w:kern w:val="0"/>
                <w:sz w:val="22"/>
                <w:szCs w:val="22"/>
              </w:rPr>
              <w:t xml:space="preserve">  □套</w:t>
            </w:r>
            <w:r w:rsidRPr="00EB7B37">
              <w:rPr>
                <w:rFonts w:ascii="黑体" w:eastAsia="黑体" w:hAnsi="黑体" w:cs="宋体"/>
                <w:bCs/>
                <w:i/>
                <w:color w:val="000000"/>
                <w:kern w:val="0"/>
                <w:sz w:val="22"/>
                <w:szCs w:val="22"/>
              </w:rPr>
              <w:t>装</w:t>
            </w:r>
            <w:r w:rsidRPr="00EB7B37">
              <w:rPr>
                <w:rFonts w:ascii="黑体" w:eastAsia="黑体" w:hAnsi="黑体" w:cs="宋体" w:hint="eastAsia"/>
                <w:bCs/>
                <w:i/>
                <w:color w:val="000000"/>
                <w:kern w:val="0"/>
                <w:sz w:val="22"/>
                <w:szCs w:val="22"/>
              </w:rPr>
              <w:t>立体封   √版权页（JPG或PDF） √条码（带定价）  √目录</w:t>
            </w:r>
          </w:p>
          <w:p w:rsidR="00503DEC" w:rsidRPr="00EB7B37" w:rsidRDefault="00503DEC" w:rsidP="00997EE2">
            <w:pPr>
              <w:rPr>
                <w:sz w:val="22"/>
                <w:szCs w:val="22"/>
              </w:rPr>
            </w:pPr>
            <w:r w:rsidRPr="00EB7B37">
              <w:rPr>
                <w:rFonts w:ascii="黑体" w:eastAsia="黑体" w:hAnsi="黑体" w:cs="宋体" w:hint="eastAsia"/>
                <w:bCs/>
                <w:color w:val="000000"/>
                <w:kern w:val="0"/>
                <w:sz w:val="22"/>
                <w:szCs w:val="22"/>
              </w:rPr>
              <w:t>√内文摘录  海报</w:t>
            </w:r>
            <w:r w:rsidRPr="00EB7B37">
              <w:rPr>
                <w:rFonts w:ascii="黑体" w:eastAsia="黑体" w:hAnsi="黑体" w:cs="宋体" w:hint="eastAsia"/>
                <w:b/>
                <w:bCs/>
                <w:color w:val="000000"/>
                <w:kern w:val="0"/>
                <w:sz w:val="22"/>
                <w:szCs w:val="22"/>
              </w:rPr>
              <w:t xml:space="preserve">    □光盘     □其他</w:t>
            </w:r>
            <w:r w:rsidRPr="00EB7B37">
              <w:rPr>
                <w:rFonts w:ascii="黑体" w:eastAsia="黑体" w:hAnsi="黑体" w:cs="宋体" w:hint="eastAsia"/>
                <w:b/>
                <w:bCs/>
                <w:color w:val="000000"/>
                <w:kern w:val="0"/>
                <w:sz w:val="22"/>
                <w:szCs w:val="22"/>
                <w:u w:val="single"/>
              </w:rPr>
              <w:t xml:space="preserve">         </w:t>
            </w:r>
          </w:p>
        </w:tc>
      </w:tr>
    </w:tbl>
    <w:p w:rsidR="008C7372" w:rsidRPr="00EB7B37" w:rsidRDefault="000F0B70" w:rsidP="00503DEC">
      <w:pPr>
        <w:jc w:val="right"/>
        <w:rPr>
          <w:sz w:val="22"/>
          <w:szCs w:val="22"/>
        </w:rPr>
      </w:pPr>
      <w:r w:rsidRPr="00EB7B37">
        <w:rPr>
          <w:b/>
          <w:noProof/>
          <w:sz w:val="22"/>
          <w:szCs w:val="22"/>
        </w:rPr>
        <w:drawing>
          <wp:anchor distT="0" distB="0" distL="114300" distR="114300" simplePos="0" relativeHeight="251657216" behindDoc="1" locked="0" layoutInCell="1" allowOverlap="1" wp14:anchorId="36CB8E82" wp14:editId="3A26DD6E">
            <wp:simplePos x="0" y="0"/>
            <wp:positionH relativeFrom="column">
              <wp:posOffset>2385593</wp:posOffset>
            </wp:positionH>
            <wp:positionV relativeFrom="paragraph">
              <wp:posOffset>-282143</wp:posOffset>
            </wp:positionV>
            <wp:extent cx="1866900" cy="47625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866900" cy="476250"/>
                    </a:xfrm>
                    <a:prstGeom prst="rect">
                      <a:avLst/>
                    </a:prstGeom>
                  </pic:spPr>
                </pic:pic>
              </a:graphicData>
            </a:graphic>
          </wp:anchor>
        </w:drawing>
      </w:r>
      <w:r w:rsidR="003448F1" w:rsidRPr="00EB7B37">
        <w:rPr>
          <w:rFonts w:hint="eastAsia"/>
          <w:b/>
          <w:sz w:val="22"/>
          <w:szCs w:val="22"/>
        </w:rPr>
        <w:t xml:space="preserve">                                      </w:t>
      </w:r>
      <w:r w:rsidRPr="00EB7B37">
        <w:rPr>
          <w:b/>
          <w:sz w:val="22"/>
          <w:szCs w:val="22"/>
        </w:rPr>
        <w:t>新</w:t>
      </w:r>
      <w:r w:rsidRPr="00EB7B37">
        <w:rPr>
          <w:rFonts w:hint="eastAsia"/>
          <w:b/>
          <w:sz w:val="22"/>
          <w:szCs w:val="22"/>
        </w:rPr>
        <w:t>书</w:t>
      </w:r>
      <w:r w:rsidRPr="00EB7B37">
        <w:rPr>
          <w:b/>
          <w:sz w:val="22"/>
          <w:szCs w:val="22"/>
        </w:rPr>
        <w:t>征订单</w:t>
      </w:r>
      <w:r w:rsidRPr="00EB7B37">
        <w:rPr>
          <w:rFonts w:hint="eastAsia"/>
          <w:b/>
          <w:sz w:val="22"/>
          <w:szCs w:val="22"/>
        </w:rPr>
        <w:t xml:space="preserve">    </w:t>
      </w:r>
      <w:r w:rsidR="003448F1" w:rsidRPr="00EB7B37">
        <w:rPr>
          <w:rFonts w:hint="eastAsia"/>
          <w:b/>
          <w:sz w:val="22"/>
          <w:szCs w:val="22"/>
        </w:rPr>
        <w:t xml:space="preserve">  </w:t>
      </w:r>
      <w:r w:rsidRPr="00EB7B37">
        <w:rPr>
          <w:rFonts w:hint="eastAsia"/>
          <w:b/>
          <w:sz w:val="22"/>
          <w:szCs w:val="22"/>
        </w:rPr>
        <w:t xml:space="preserve"> 20</w:t>
      </w:r>
      <w:r w:rsidR="00C93C5E" w:rsidRPr="00EB7B37">
        <w:rPr>
          <w:rFonts w:hint="eastAsia"/>
          <w:b/>
          <w:sz w:val="22"/>
          <w:szCs w:val="22"/>
        </w:rPr>
        <w:t>20</w:t>
      </w:r>
      <w:r w:rsidRPr="00EB7B37">
        <w:rPr>
          <w:rFonts w:hint="eastAsia"/>
          <w:b/>
          <w:sz w:val="22"/>
          <w:szCs w:val="22"/>
        </w:rPr>
        <w:t>.</w:t>
      </w:r>
      <w:r w:rsidR="00620842" w:rsidRPr="00EB7B37">
        <w:rPr>
          <w:b/>
          <w:sz w:val="22"/>
          <w:szCs w:val="22"/>
        </w:rPr>
        <w:t>0</w:t>
      </w:r>
      <w:r w:rsidR="00C93C5E" w:rsidRPr="00EB7B37">
        <w:rPr>
          <w:rFonts w:hint="eastAsia"/>
          <w:b/>
          <w:sz w:val="22"/>
          <w:szCs w:val="22"/>
        </w:rPr>
        <w:t>6</w:t>
      </w:r>
      <w:r w:rsidR="00620842" w:rsidRPr="00EB7B37">
        <w:rPr>
          <w:b/>
          <w:sz w:val="22"/>
          <w:szCs w:val="22"/>
        </w:rPr>
        <w:t>.08</w:t>
      </w:r>
    </w:p>
    <w:sectPr w:rsidR="008C7372" w:rsidRPr="00EB7B37">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211" w:rsidRDefault="006B6211" w:rsidP="00410D2C">
      <w:r>
        <w:separator/>
      </w:r>
    </w:p>
  </w:endnote>
  <w:endnote w:type="continuationSeparator" w:id="0">
    <w:p w:rsidR="006B6211" w:rsidRDefault="006B6211" w:rsidP="0041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auto"/>
    <w:pitch w:val="variable"/>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211" w:rsidRDefault="006B6211" w:rsidP="00410D2C">
      <w:r>
        <w:separator/>
      </w:r>
    </w:p>
  </w:footnote>
  <w:footnote w:type="continuationSeparator" w:id="0">
    <w:p w:rsidR="006B6211" w:rsidRDefault="006B6211" w:rsidP="00410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DC6609"/>
    <w:multiLevelType w:val="multilevel"/>
    <w:tmpl w:val="65DC6609"/>
    <w:lvl w:ilvl="0">
      <w:numFmt w:val="bullet"/>
      <w:lvlText w:val="◆"/>
      <w:lvlJc w:val="left"/>
      <w:pPr>
        <w:tabs>
          <w:tab w:val="num" w:pos="360"/>
        </w:tabs>
        <w:ind w:left="360" w:hanging="360"/>
      </w:pPr>
      <w:rPr>
        <w:rFonts w:ascii="黑体" w:eastAsia="黑体" w:hAnsi="华文细黑" w:cs="Arial" w:hint="eastAsia"/>
        <w:color w:val="CC0000"/>
        <w:sz w:val="28"/>
        <w:szCs w:val="28"/>
        <w:lang w:val="en-US"/>
      </w:rPr>
    </w:lvl>
    <w:lvl w:ilvl="1">
      <w:start w:val="1"/>
      <w:numFmt w:val="bullet"/>
      <w:lvlText w:val=""/>
      <w:lvlJc w:val="left"/>
      <w:pPr>
        <w:tabs>
          <w:tab w:val="num" w:pos="562"/>
        </w:tabs>
        <w:ind w:left="562" w:hanging="420"/>
      </w:pPr>
      <w:rPr>
        <w:rFonts w:ascii="Wingdings" w:hAnsi="Wingdings" w:hint="default"/>
        <w:color w:val="CC0000"/>
        <w:sz w:val="28"/>
        <w:szCs w:val="28"/>
        <w:lang w:val="en-US"/>
      </w:rPr>
    </w:lvl>
    <w:lvl w:ilvl="2">
      <w:numFmt w:val="bullet"/>
      <w:lvlText w:val="◇"/>
      <w:lvlJc w:val="left"/>
      <w:pPr>
        <w:ind w:left="1200" w:hanging="360"/>
      </w:pPr>
      <w:rPr>
        <w:rFonts w:ascii="黑体" w:eastAsia="黑体" w:hAnsi="黑体" w:cs="宋体" w:hint="eastAsia"/>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7A409ED"/>
    <w:rsid w:val="00001B8A"/>
    <w:rsid w:val="00011FA4"/>
    <w:rsid w:val="00026B57"/>
    <w:rsid w:val="00035618"/>
    <w:rsid w:val="00036E3A"/>
    <w:rsid w:val="000875A6"/>
    <w:rsid w:val="000964EA"/>
    <w:rsid w:val="000A0D30"/>
    <w:rsid w:val="000C7FA9"/>
    <w:rsid w:val="000E472C"/>
    <w:rsid w:val="000F0B70"/>
    <w:rsid w:val="00116E1B"/>
    <w:rsid w:val="001334E1"/>
    <w:rsid w:val="00181826"/>
    <w:rsid w:val="00185BAD"/>
    <w:rsid w:val="0018713C"/>
    <w:rsid w:val="001C67BE"/>
    <w:rsid w:val="001E5A3E"/>
    <w:rsid w:val="001F61C3"/>
    <w:rsid w:val="00220147"/>
    <w:rsid w:val="00226984"/>
    <w:rsid w:val="00253957"/>
    <w:rsid w:val="002613AF"/>
    <w:rsid w:val="00262609"/>
    <w:rsid w:val="002B01A5"/>
    <w:rsid w:val="002B5428"/>
    <w:rsid w:val="002C4535"/>
    <w:rsid w:val="002F4331"/>
    <w:rsid w:val="00303AED"/>
    <w:rsid w:val="00322962"/>
    <w:rsid w:val="0032449A"/>
    <w:rsid w:val="003411DC"/>
    <w:rsid w:val="003448F1"/>
    <w:rsid w:val="00345CC0"/>
    <w:rsid w:val="00352242"/>
    <w:rsid w:val="00356285"/>
    <w:rsid w:val="00367144"/>
    <w:rsid w:val="0038540B"/>
    <w:rsid w:val="00391F56"/>
    <w:rsid w:val="003B7147"/>
    <w:rsid w:val="003C3000"/>
    <w:rsid w:val="003D28AE"/>
    <w:rsid w:val="003F7BB2"/>
    <w:rsid w:val="0040081E"/>
    <w:rsid w:val="00410D2C"/>
    <w:rsid w:val="00427A24"/>
    <w:rsid w:val="004315DC"/>
    <w:rsid w:val="004432DB"/>
    <w:rsid w:val="00445054"/>
    <w:rsid w:val="004451B8"/>
    <w:rsid w:val="004662ED"/>
    <w:rsid w:val="00496AF2"/>
    <w:rsid w:val="004C633F"/>
    <w:rsid w:val="004D28D9"/>
    <w:rsid w:val="00503DEC"/>
    <w:rsid w:val="00511CF2"/>
    <w:rsid w:val="00537AAB"/>
    <w:rsid w:val="00544519"/>
    <w:rsid w:val="00550482"/>
    <w:rsid w:val="00560EF4"/>
    <w:rsid w:val="00575DAB"/>
    <w:rsid w:val="005A35DC"/>
    <w:rsid w:val="005B4C84"/>
    <w:rsid w:val="005B5552"/>
    <w:rsid w:val="005C51AC"/>
    <w:rsid w:val="005D2F6D"/>
    <w:rsid w:val="00620842"/>
    <w:rsid w:val="00637912"/>
    <w:rsid w:val="00657156"/>
    <w:rsid w:val="00661466"/>
    <w:rsid w:val="0068275B"/>
    <w:rsid w:val="0068537B"/>
    <w:rsid w:val="00695DAC"/>
    <w:rsid w:val="006B6211"/>
    <w:rsid w:val="006D7AA9"/>
    <w:rsid w:val="006E5897"/>
    <w:rsid w:val="006F2F93"/>
    <w:rsid w:val="00710E6F"/>
    <w:rsid w:val="00760C36"/>
    <w:rsid w:val="00767CA9"/>
    <w:rsid w:val="0077026C"/>
    <w:rsid w:val="00771E6A"/>
    <w:rsid w:val="007860F2"/>
    <w:rsid w:val="007933AF"/>
    <w:rsid w:val="007A001A"/>
    <w:rsid w:val="007A7581"/>
    <w:rsid w:val="007B3CFB"/>
    <w:rsid w:val="007C7117"/>
    <w:rsid w:val="007E1785"/>
    <w:rsid w:val="007E52DB"/>
    <w:rsid w:val="007F032D"/>
    <w:rsid w:val="007F7D31"/>
    <w:rsid w:val="00807B60"/>
    <w:rsid w:val="0081178B"/>
    <w:rsid w:val="0082102A"/>
    <w:rsid w:val="008504A5"/>
    <w:rsid w:val="00853894"/>
    <w:rsid w:val="008555AF"/>
    <w:rsid w:val="00863996"/>
    <w:rsid w:val="00880648"/>
    <w:rsid w:val="008863AD"/>
    <w:rsid w:val="008B4124"/>
    <w:rsid w:val="008C7372"/>
    <w:rsid w:val="008D1F8A"/>
    <w:rsid w:val="008D2CAE"/>
    <w:rsid w:val="008E02C3"/>
    <w:rsid w:val="008E35D3"/>
    <w:rsid w:val="008E3B50"/>
    <w:rsid w:val="008E7E29"/>
    <w:rsid w:val="008F1022"/>
    <w:rsid w:val="00904A87"/>
    <w:rsid w:val="00931E2C"/>
    <w:rsid w:val="00937D6C"/>
    <w:rsid w:val="009445D2"/>
    <w:rsid w:val="00945A98"/>
    <w:rsid w:val="00946EB1"/>
    <w:rsid w:val="00953849"/>
    <w:rsid w:val="00954245"/>
    <w:rsid w:val="00957699"/>
    <w:rsid w:val="00960E0B"/>
    <w:rsid w:val="009619B8"/>
    <w:rsid w:val="00962A65"/>
    <w:rsid w:val="009669F8"/>
    <w:rsid w:val="009736A5"/>
    <w:rsid w:val="009966ED"/>
    <w:rsid w:val="00997EE2"/>
    <w:rsid w:val="009B665C"/>
    <w:rsid w:val="009D4BB5"/>
    <w:rsid w:val="009D5A6E"/>
    <w:rsid w:val="009F3BCB"/>
    <w:rsid w:val="00A003B4"/>
    <w:rsid w:val="00A0131B"/>
    <w:rsid w:val="00A11A04"/>
    <w:rsid w:val="00A30250"/>
    <w:rsid w:val="00A42653"/>
    <w:rsid w:val="00A4707F"/>
    <w:rsid w:val="00A54648"/>
    <w:rsid w:val="00A616AC"/>
    <w:rsid w:val="00A704CD"/>
    <w:rsid w:val="00A8794F"/>
    <w:rsid w:val="00A9704D"/>
    <w:rsid w:val="00AA2091"/>
    <w:rsid w:val="00AB326F"/>
    <w:rsid w:val="00AC0605"/>
    <w:rsid w:val="00AE4AC5"/>
    <w:rsid w:val="00AF0F47"/>
    <w:rsid w:val="00B353CC"/>
    <w:rsid w:val="00B35792"/>
    <w:rsid w:val="00B3729A"/>
    <w:rsid w:val="00B444F6"/>
    <w:rsid w:val="00BA77AC"/>
    <w:rsid w:val="00BD3E3C"/>
    <w:rsid w:val="00BD61BA"/>
    <w:rsid w:val="00BF2209"/>
    <w:rsid w:val="00C050B2"/>
    <w:rsid w:val="00C11C48"/>
    <w:rsid w:val="00C14DE5"/>
    <w:rsid w:val="00C41B5C"/>
    <w:rsid w:val="00C445C9"/>
    <w:rsid w:val="00C60800"/>
    <w:rsid w:val="00C7251C"/>
    <w:rsid w:val="00C81128"/>
    <w:rsid w:val="00C93C5E"/>
    <w:rsid w:val="00CB0DD3"/>
    <w:rsid w:val="00CD699C"/>
    <w:rsid w:val="00CF4113"/>
    <w:rsid w:val="00CF5BAD"/>
    <w:rsid w:val="00CF675A"/>
    <w:rsid w:val="00D16A13"/>
    <w:rsid w:val="00D4276D"/>
    <w:rsid w:val="00D61DE5"/>
    <w:rsid w:val="00DC24D4"/>
    <w:rsid w:val="00DC3AD9"/>
    <w:rsid w:val="00DD44FF"/>
    <w:rsid w:val="00DD46BF"/>
    <w:rsid w:val="00DE2D24"/>
    <w:rsid w:val="00E20D47"/>
    <w:rsid w:val="00E71834"/>
    <w:rsid w:val="00E85341"/>
    <w:rsid w:val="00E9010F"/>
    <w:rsid w:val="00E95E66"/>
    <w:rsid w:val="00E97164"/>
    <w:rsid w:val="00EA0E3E"/>
    <w:rsid w:val="00EB18F8"/>
    <w:rsid w:val="00EB277B"/>
    <w:rsid w:val="00EB7B37"/>
    <w:rsid w:val="00EC14C4"/>
    <w:rsid w:val="00EC1A29"/>
    <w:rsid w:val="00EE2C07"/>
    <w:rsid w:val="00EF3211"/>
    <w:rsid w:val="00F0459D"/>
    <w:rsid w:val="00F13DA9"/>
    <w:rsid w:val="00F41573"/>
    <w:rsid w:val="00F57208"/>
    <w:rsid w:val="00F85961"/>
    <w:rsid w:val="00F9244E"/>
    <w:rsid w:val="00FA5CB7"/>
    <w:rsid w:val="00FE629F"/>
    <w:rsid w:val="00FE6E81"/>
    <w:rsid w:val="145757D1"/>
    <w:rsid w:val="39522A7A"/>
    <w:rsid w:val="55B27206"/>
    <w:rsid w:val="57A409ED"/>
    <w:rsid w:val="702B4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9480C59"/>
  <w15:docId w15:val="{D32C00C0-6A74-42D4-A284-D7C00706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0"/>
    <w:unhideWhenUsed/>
    <w:qFormat/>
    <w:rsid w:val="00303AE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
    <w:uiPriority w:val="99"/>
    <w:qFormat/>
    <w:rPr>
      <w:rFonts w:ascii="宋体" w:eastAsia="宋体" w:hAnsi="Courier New" w:cs="Courier New"/>
      <w:szCs w:val="21"/>
    </w:rPr>
  </w:style>
  <w:style w:type="paragraph" w:styleId="a4">
    <w:name w:val="Balloon Text"/>
    <w:basedOn w:val="a"/>
    <w:link w:val="a5"/>
    <w:rPr>
      <w:sz w:val="18"/>
      <w:szCs w:val="18"/>
    </w:rPr>
  </w:style>
  <w:style w:type="paragraph" w:styleId="a6">
    <w:name w:val="footer"/>
    <w:basedOn w:val="a"/>
    <w:link w:val="a7"/>
    <w:pPr>
      <w:tabs>
        <w:tab w:val="center" w:pos="4153"/>
        <w:tab w:val="right" w:pos="8306"/>
      </w:tabs>
      <w:snapToGrid w:val="0"/>
      <w:jc w:val="left"/>
    </w:pPr>
    <w:rPr>
      <w:sz w:val="18"/>
      <w:szCs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批注框文本 字符"/>
    <w:basedOn w:val="a0"/>
    <w:link w:val="a4"/>
    <w:rPr>
      <w:kern w:val="2"/>
      <w:sz w:val="18"/>
      <w:szCs w:val="18"/>
    </w:rPr>
  </w:style>
  <w:style w:type="character" w:customStyle="1" w:styleId="a9">
    <w:name w:val="页眉 字符"/>
    <w:basedOn w:val="a0"/>
    <w:link w:val="a8"/>
    <w:rPr>
      <w:kern w:val="2"/>
      <w:sz w:val="18"/>
      <w:szCs w:val="18"/>
    </w:rPr>
  </w:style>
  <w:style w:type="character" w:customStyle="1" w:styleId="a7">
    <w:name w:val="页脚 字符"/>
    <w:basedOn w:val="a0"/>
    <w:link w:val="a6"/>
    <w:rPr>
      <w:kern w:val="2"/>
      <w:sz w:val="18"/>
      <w:szCs w:val="18"/>
    </w:rPr>
  </w:style>
  <w:style w:type="character" w:customStyle="1" w:styleId="20">
    <w:name w:val="标题 2 字符"/>
    <w:basedOn w:val="a0"/>
    <w:link w:val="2"/>
    <w:uiPriority w:val="9"/>
    <w:rPr>
      <w:rFonts w:ascii="宋体" w:eastAsia="宋体" w:hAnsi="宋体" w:cs="宋体"/>
      <w:b/>
      <w:bCs/>
      <w:sz w:val="36"/>
      <w:szCs w:val="36"/>
    </w:rPr>
  </w:style>
  <w:style w:type="character" w:customStyle="1" w:styleId="1">
    <w:name w:val="纯文本 字符1"/>
    <w:link w:val="a3"/>
    <w:uiPriority w:val="99"/>
    <w:rsid w:val="00116E1B"/>
    <w:rPr>
      <w:rFonts w:ascii="宋体" w:eastAsia="宋体" w:hAnsi="Courier New" w:cs="Courier New"/>
      <w:kern w:val="2"/>
      <w:sz w:val="21"/>
      <w:szCs w:val="21"/>
    </w:rPr>
  </w:style>
  <w:style w:type="character" w:customStyle="1" w:styleId="ab">
    <w:name w:val="纯文本 字符"/>
    <w:uiPriority w:val="99"/>
    <w:rsid w:val="00EE2C07"/>
    <w:rPr>
      <w:rFonts w:ascii="宋体" w:hAnsi="Courier New" w:cs="Courier New"/>
      <w:kern w:val="2"/>
      <w:sz w:val="21"/>
      <w:szCs w:val="21"/>
    </w:rPr>
  </w:style>
  <w:style w:type="character" w:customStyle="1" w:styleId="30">
    <w:name w:val="标题 3 字符"/>
    <w:basedOn w:val="a0"/>
    <w:link w:val="3"/>
    <w:rsid w:val="00303AED"/>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SunXH</cp:lastModifiedBy>
  <cp:revision>276</cp:revision>
  <dcterms:created xsi:type="dcterms:W3CDTF">2017-03-21T04:12:00Z</dcterms:created>
  <dcterms:modified xsi:type="dcterms:W3CDTF">2020-06-08T01:29:00Z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